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b/>
          <w:sz w:val="36"/>
          <w:szCs w:val="36"/>
        </w:rPr>
      </w:pPr>
      <w:r>
        <w:rPr>
          <w:rFonts w:hint="eastAsia" w:eastAsia="方正小标宋简体"/>
          <w:b/>
          <w:sz w:val="36"/>
          <w:szCs w:val="36"/>
        </w:rPr>
        <w:t>关于修订20</w:t>
      </w:r>
      <w:r>
        <w:rPr>
          <w:rFonts w:hint="eastAsia" w:eastAsia="方正小标宋简体"/>
          <w:b/>
          <w:sz w:val="36"/>
          <w:szCs w:val="36"/>
          <w:lang w:val="en-US" w:eastAsia="zh-CN"/>
        </w:rPr>
        <w:t>20</w:t>
      </w:r>
      <w:r>
        <w:rPr>
          <w:rFonts w:hint="eastAsia" w:eastAsia="方正小标宋简体"/>
          <w:b/>
          <w:sz w:val="36"/>
          <w:szCs w:val="36"/>
        </w:rPr>
        <w:t>级</w:t>
      </w:r>
      <w:r>
        <w:rPr>
          <w:rFonts w:eastAsia="方正小标宋简体"/>
          <w:b/>
          <w:sz w:val="36"/>
          <w:szCs w:val="36"/>
        </w:rPr>
        <w:t>三年制人才培养方案的意见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为了全面适应高等教育改革与发展，特别是区域经济与社会发展对各类专业人才需求，构建符合我校定位的人才培养课程体系和内部质量保障体系，加强校企合作，落实《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</w:rPr>
        <w:t>高等职业院校内部质量保证体系诊断与改进指导方案（试行）》</w:t>
      </w:r>
      <w:r>
        <w:rPr>
          <w:rFonts w:hint="eastAsia" w:ascii="仿宋_GB2312" w:hAnsi="Verdana" w:eastAsia="仿宋_GB2312"/>
          <w:color w:val="333333"/>
          <w:sz w:val="30"/>
          <w:szCs w:val="30"/>
          <w:lang w:eastAsia="zh-CN"/>
        </w:rPr>
        <w:t>、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《国家职业教育改革实施方案》，推动产教融合，实施普通高职、单招专业、3+2专业分层教学管理，学校决定启动20</w:t>
      </w:r>
      <w:r>
        <w:rPr>
          <w:rFonts w:hint="eastAsia" w:ascii="仿宋_GB2312" w:hAnsi="Verdana" w:eastAsia="仿宋_GB2312"/>
          <w:color w:val="333333"/>
          <w:sz w:val="30"/>
          <w:szCs w:val="30"/>
          <w:lang w:val="en-US" w:eastAsia="zh-CN"/>
        </w:rPr>
        <w:t>20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级人才培养方案修订工作。现就有关事项通知如下：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一、指导思想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贯彻落实国家和湖北省中长期教育改革和发展规划纲要精神，以《国务院关于加快发展现代职业教育的决定》《现代职业教育体系建设规划（2014-2020年）》《国家职业教育改革实施方案》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</w:rPr>
        <w:t>《高等职业院校内部质量保证体系诊断与改进指导方案（试行）》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等文件精神为指导，结合学院教育教学实际制订20</w:t>
      </w:r>
      <w:r>
        <w:rPr>
          <w:rFonts w:hint="eastAsia" w:ascii="仿宋_GB2312" w:hAnsi="Verdana" w:eastAsia="仿宋_GB2312"/>
          <w:color w:val="333333"/>
          <w:sz w:val="30"/>
          <w:szCs w:val="30"/>
          <w:lang w:val="en-US" w:eastAsia="zh-CN"/>
        </w:rPr>
        <w:t>20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级专业人才培养方案，坚持以立德树人为根本，以服务学生发展和地方经济社会发展为宗旨，</w:t>
      </w:r>
      <w:r>
        <w:rPr>
          <w:rFonts w:hint="eastAsia" w:ascii="仿宋_GB2312" w:hAnsi="Verdana" w:eastAsia="仿宋_GB2312"/>
          <w:color w:val="333333"/>
          <w:sz w:val="30"/>
          <w:szCs w:val="30"/>
          <w:lang w:eastAsia="zh-CN"/>
        </w:rPr>
        <w:t>以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增强学生就业创业能力为核心，加强思想道德、人文素养教育和技术技能培养，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  <w:lang w:eastAsia="zh-CN"/>
        </w:rPr>
        <w:t>最大限度激发学生潜能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培养服务社会生产、建设、管理和服务一线的高素质劳动者与技术技能人才。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二、基本原则</w:t>
      </w:r>
      <w:bookmarkStart w:id="0" w:name="_GoBack"/>
      <w:bookmarkEnd w:id="0"/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（一）坚持服务需求，就业导向。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必须适应区域产业发展和人的全面发展的需要，以服务就业和提高学习者就业创业能力为导向，推动专业设置与产业需求对接，课程内容与职业标准对接，教学过程与生产过程对接，毕业证书与资格证书对接，将“1+</w:t>
      </w:r>
      <w:r>
        <w:rPr>
          <w:rFonts w:ascii="仿宋_GB2312" w:hAnsi="Verdana" w:eastAsia="仿宋_GB2312"/>
          <w:color w:val="333333"/>
          <w:sz w:val="30"/>
          <w:szCs w:val="30"/>
        </w:rPr>
        <w:t>X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”证书</w:t>
      </w:r>
      <w:r>
        <w:rPr>
          <w:rFonts w:ascii="仿宋_GB2312" w:hAnsi="Verdana" w:eastAsia="仿宋_GB2312"/>
          <w:color w:val="333333"/>
          <w:sz w:val="30"/>
          <w:szCs w:val="30"/>
        </w:rPr>
        <w:t>试点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课程</w:t>
      </w:r>
      <w:r>
        <w:rPr>
          <w:rFonts w:ascii="仿宋_GB2312" w:hAnsi="Verdana" w:eastAsia="仿宋_GB2312"/>
          <w:color w:val="333333"/>
          <w:sz w:val="30"/>
          <w:szCs w:val="30"/>
        </w:rPr>
        <w:t>拉入到教学体系，进一步发挥好学历证书作用，夯实学生可持续发展基础，鼓励学生在获得学历证书的同时，积极取得多类职业技能等级证书，拓展就业创业本领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，使职业教育与终身学习对接。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（二）坚持育人为先，能力为重。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积极培育和践行社会主义核心价值观，把立德树人作为职业教育的根本任务，把能力培养作为职业教育的重中之重，着力培养学生职业道德、职业技能和就业创业能力，努力提高学生思想道德水平、职业素养和综合素质；融入思政课教学，打牢大学生成长成才的科学思想基础，引导大学生树立正确的世界观、人生观、价值观，不断提高大学生对思想政治理论课的获得感。加大专业实践教学的内容及比例，构建“课证融合、能力主线”的课程体系。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（三）坚持系统培养，多样成才。</w:t>
      </w:r>
    </w:p>
    <w:p>
      <w:pPr>
        <w:pStyle w:val="2"/>
        <w:spacing w:line="240" w:lineRule="auto"/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深入推进中高职衔接和人才系统培养，注重中等和高等职业教育在培养目标、专业内涵、教学内容等方面的延续与衔接，系统设计、统筹规划课程开发和教学资源建设，明确不同层次的教学重点，调整课程结构与内容，做到知识传授与能力培养相结合，能力培养要贯穿教学全过程。加强实践教学环节，增加实训教学的比重，减少演示性和验证性实验，使学生掌握从事专业领域实际工作的基本技能。将职业道德教育、法制教育、人文素质教育、中国传统文化教育和非物质遗产文化教育融入专业人才培养方案，使学生具备一定的可持续发展能力。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（四）贯彻产教融合思想。</w:t>
      </w:r>
    </w:p>
    <w:p>
      <w:pPr>
        <w:ind w:firstLine="600" w:firstLineChars="200"/>
        <w:rPr>
          <w:rFonts w:hint="eastAsia"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产教融合是培养技术应用型专门人才的基本途径。《人才培养方案》的制订和实施过程应主动争取企事业单位参与，充分利用社会资源。在制定《人才培养方案》前，要同企业专家一道进行工作任务分析，将工作领域和工作过程通过教学化处理，转化为学习领域和学习过程。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Verdana" w:eastAsia="仿宋_GB2312"/>
          <w:color w:val="333333"/>
          <w:sz w:val="30"/>
          <w:szCs w:val="30"/>
          <w:highlight w:val="yellow"/>
          <w:lang w:val="en-US" w:eastAsia="zh-CN"/>
        </w:rPr>
      </w:pP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  <w:lang w:val="en-US" w:eastAsia="zh-CN"/>
        </w:rPr>
        <w:t>内部质量保证体系建设。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Verdana" w:eastAsia="仿宋_GB2312"/>
          <w:color w:val="333333"/>
          <w:sz w:val="30"/>
          <w:szCs w:val="30"/>
          <w:highlight w:val="yellow"/>
          <w:lang w:val="en-US" w:eastAsia="zh-CN"/>
        </w:rPr>
      </w:pP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  <w:lang w:val="en-US" w:eastAsia="zh-CN"/>
        </w:rPr>
        <w:t>人才培养方案中</w:t>
      </w:r>
      <w:r>
        <w:rPr>
          <w:rFonts w:hint="default" w:ascii="仿宋_GB2312" w:hAnsi="Verdana" w:eastAsia="仿宋_GB2312"/>
          <w:color w:val="333333"/>
          <w:sz w:val="30"/>
          <w:szCs w:val="30"/>
          <w:highlight w:val="yellow"/>
          <w:lang w:val="en-US" w:eastAsia="zh-CN"/>
        </w:rPr>
        <w:t>专业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  <w:lang w:val="en-US" w:eastAsia="zh-CN"/>
        </w:rPr>
        <w:t>、课程建设</w:t>
      </w:r>
      <w:r>
        <w:rPr>
          <w:rFonts w:hint="default" w:ascii="仿宋_GB2312" w:hAnsi="Verdana" w:eastAsia="仿宋_GB2312"/>
          <w:color w:val="333333"/>
          <w:sz w:val="30"/>
          <w:szCs w:val="30"/>
          <w:highlight w:val="yellow"/>
          <w:lang w:val="en-US" w:eastAsia="zh-CN"/>
        </w:rPr>
        <w:t>规划目标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  <w:lang w:val="en-US" w:eastAsia="zh-CN"/>
        </w:rPr>
        <w:t>要</w:t>
      </w:r>
      <w:r>
        <w:rPr>
          <w:rFonts w:hint="default" w:ascii="仿宋_GB2312" w:hAnsi="Verdana" w:eastAsia="仿宋_GB2312"/>
          <w:color w:val="333333"/>
          <w:sz w:val="30"/>
          <w:szCs w:val="30"/>
          <w:highlight w:val="yellow"/>
          <w:lang w:val="en-US" w:eastAsia="zh-CN"/>
        </w:rPr>
        <w:t>与学校规划契合，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  <w:lang w:val="en-US" w:eastAsia="zh-CN"/>
        </w:rPr>
        <w:t>要</w:t>
      </w:r>
      <w:r>
        <w:rPr>
          <w:rFonts w:hint="default" w:ascii="仿宋_GB2312" w:hAnsi="Verdana" w:eastAsia="仿宋_GB2312"/>
          <w:color w:val="333333"/>
          <w:sz w:val="30"/>
          <w:szCs w:val="30"/>
          <w:highlight w:val="yellow"/>
          <w:lang w:val="en-US" w:eastAsia="zh-CN"/>
        </w:rPr>
        <w:t>与自身基础适切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  <w:lang w:val="en-US" w:eastAsia="zh-CN"/>
        </w:rPr>
        <w:t>，科学合理，具有可行性与可操作性。课程标准具备科学性、先进性、规范性与完备性。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（</w:t>
      </w:r>
      <w:r>
        <w:rPr>
          <w:rFonts w:hint="eastAsia" w:ascii="仿宋_GB2312" w:hAnsi="Verdana" w:eastAsia="仿宋_GB2312"/>
          <w:color w:val="333333"/>
          <w:sz w:val="30"/>
          <w:szCs w:val="30"/>
          <w:lang w:eastAsia="zh-CN"/>
        </w:rPr>
        <w:t>六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）办出特色和品牌。</w:t>
      </w:r>
    </w:p>
    <w:p>
      <w:pPr>
        <w:pStyle w:val="2"/>
        <w:spacing w:line="240" w:lineRule="auto"/>
        <w:ind w:firstLine="600" w:firstLineChars="200"/>
        <w:rPr>
          <w:rFonts w:ascii="仿宋_GB2312" w:hAnsi="Verdana" w:eastAsia="仿宋_GB2312" w:cstheme="minorBidi"/>
          <w:color w:val="333333"/>
          <w:sz w:val="30"/>
          <w:szCs w:val="30"/>
        </w:rPr>
      </w:pP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在遵循上述原则的基础上，各专业应积极探索多样化的人才培养模式，努力办出特色。即使同一专业，也可根据生源情况的不同，制订不同的《人才培养方案》，或在执行同一《人才培养方案》中，给学生以更大的选择性，一个专业可以开出多个专业方向。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三、制订专业人才培养方案的具体规定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（一）专业人才培养方案的构成</w:t>
      </w:r>
    </w:p>
    <w:p>
      <w:pPr>
        <w:pStyle w:val="2"/>
        <w:spacing w:line="240" w:lineRule="auto"/>
        <w:ind w:firstLine="600" w:firstLineChars="200"/>
        <w:rPr>
          <w:rFonts w:ascii="仿宋_GB2312" w:hAnsi="Verdana" w:eastAsia="仿宋_GB2312" w:cstheme="minorBidi"/>
          <w:color w:val="333333"/>
          <w:sz w:val="30"/>
          <w:szCs w:val="30"/>
        </w:rPr>
      </w:pP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1.专业名称及代码。</w:t>
      </w:r>
    </w:p>
    <w:p>
      <w:pPr>
        <w:pStyle w:val="2"/>
        <w:spacing w:line="240" w:lineRule="auto"/>
        <w:ind w:firstLine="600" w:firstLineChars="200"/>
        <w:rPr>
          <w:rFonts w:ascii="仿宋_GB2312" w:hAnsi="Verdana" w:eastAsia="仿宋_GB2312" w:cstheme="minorBidi"/>
          <w:color w:val="333333"/>
          <w:sz w:val="30"/>
          <w:szCs w:val="30"/>
        </w:rPr>
      </w:pP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2.学制与招生对象：</w:t>
      </w:r>
    </w:p>
    <w:p>
      <w:pPr>
        <w:pStyle w:val="2"/>
        <w:spacing w:line="240" w:lineRule="auto"/>
        <w:ind w:firstLine="600" w:firstLineChars="200"/>
        <w:rPr>
          <w:rFonts w:ascii="仿宋_GB2312" w:hAnsi="Verdana" w:eastAsia="仿宋_GB2312" w:cstheme="minorBidi"/>
          <w:color w:val="333333"/>
          <w:sz w:val="30"/>
          <w:szCs w:val="30"/>
        </w:rPr>
      </w:pP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学制：x年</w:t>
      </w:r>
    </w:p>
    <w:p>
      <w:pPr>
        <w:pStyle w:val="2"/>
        <w:spacing w:line="240" w:lineRule="auto"/>
        <w:ind w:firstLine="600" w:firstLineChars="200"/>
        <w:rPr>
          <w:rFonts w:hint="eastAsia" w:ascii="仿宋_GB2312" w:hAnsi="Verdana" w:eastAsia="仿宋_GB2312" w:cstheme="minorBidi"/>
          <w:color w:val="333333"/>
          <w:sz w:val="30"/>
          <w:szCs w:val="30"/>
        </w:rPr>
      </w:pP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招生对象：</w:t>
      </w:r>
    </w:p>
    <w:p>
      <w:pPr>
        <w:pStyle w:val="2"/>
        <w:spacing w:line="240" w:lineRule="auto"/>
        <w:ind w:firstLine="600" w:firstLineChars="200"/>
        <w:rPr>
          <w:rFonts w:hint="eastAsia" w:ascii="仿宋_GB2312" w:hAnsi="Verdana" w:eastAsia="仿宋_GB2312" w:cstheme="minorBidi"/>
          <w:color w:val="333333"/>
          <w:sz w:val="30"/>
          <w:szCs w:val="30"/>
          <w:lang w:val="en-US" w:eastAsia="zh-CN"/>
        </w:rPr>
      </w:pPr>
      <w:r>
        <w:rPr>
          <w:rFonts w:hint="eastAsia" w:ascii="仿宋_GB2312" w:hAnsi="Verdana" w:eastAsia="仿宋_GB2312" w:cstheme="minorBidi"/>
          <w:color w:val="333333"/>
          <w:sz w:val="30"/>
          <w:szCs w:val="30"/>
          <w:lang w:val="en-US" w:eastAsia="zh-CN"/>
        </w:rPr>
        <w:t>3.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毕业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  <w:lang w:eastAsia="zh-CN"/>
        </w:rPr>
        <w:t>要求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：说明毕业应达到的条件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  <w:lang w:eastAsia="zh-CN"/>
        </w:rPr>
        <w:t>。</w:t>
      </w:r>
    </w:p>
    <w:p>
      <w:pPr>
        <w:pStyle w:val="2"/>
        <w:spacing w:line="240" w:lineRule="auto"/>
        <w:ind w:firstLine="600" w:firstLineChars="200"/>
        <w:rPr>
          <w:rFonts w:ascii="仿宋_GB2312" w:hAnsi="Verdana" w:eastAsia="仿宋_GB2312" w:cstheme="minorBidi"/>
          <w:color w:val="333333"/>
          <w:sz w:val="30"/>
          <w:szCs w:val="30"/>
        </w:rPr>
      </w:pPr>
      <w:r>
        <w:rPr>
          <w:rFonts w:hint="eastAsia" w:ascii="仿宋_GB2312" w:hAnsi="Verdana" w:eastAsia="仿宋_GB2312" w:cstheme="minorBidi"/>
          <w:color w:val="333333"/>
          <w:sz w:val="30"/>
          <w:szCs w:val="30"/>
          <w:lang w:val="en-US" w:eastAsia="zh-CN"/>
        </w:rPr>
        <w:t>4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.培养目标：培养面向xx类型行业、企业就业，适应xx职业及相关工种和岗位群工作，胜任xx工作任务，具备xx职业素养的技能人才。</w:t>
      </w:r>
    </w:p>
    <w:p>
      <w:pPr>
        <w:pStyle w:val="2"/>
        <w:spacing w:line="240" w:lineRule="auto"/>
        <w:ind w:firstLine="600" w:firstLineChars="200"/>
        <w:rPr>
          <w:rFonts w:ascii="仿宋_GB2312" w:hAnsi="Verdana" w:eastAsia="仿宋_GB2312" w:cstheme="minorBidi"/>
          <w:color w:val="333333"/>
          <w:sz w:val="30"/>
          <w:szCs w:val="30"/>
        </w:rPr>
      </w:pPr>
      <w:r>
        <w:rPr>
          <w:rFonts w:hint="eastAsia" w:ascii="仿宋_GB2312" w:hAnsi="Verdana" w:eastAsia="仿宋_GB2312" w:cstheme="minorBidi"/>
          <w:color w:val="333333"/>
          <w:sz w:val="30"/>
          <w:szCs w:val="30"/>
          <w:lang w:val="en-US" w:eastAsia="zh-CN"/>
        </w:rPr>
        <w:t>5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.培养规格：包括学生的基本素质、知识与能力结构和职业能力结构。职业能力分析采用职业能力结构图列示。</w:t>
      </w:r>
    </w:p>
    <w:p>
      <w:pPr>
        <w:pStyle w:val="2"/>
        <w:spacing w:line="240" w:lineRule="auto"/>
        <w:ind w:firstLine="600" w:firstLineChars="200"/>
        <w:rPr>
          <w:rFonts w:hint="eastAsia" w:ascii="仿宋_GB2312" w:hAnsi="Verdana" w:eastAsia="仿宋_GB2312" w:cstheme="minorBidi"/>
          <w:color w:val="333333"/>
          <w:sz w:val="30"/>
          <w:szCs w:val="30"/>
        </w:rPr>
      </w:pPr>
      <w:r>
        <w:rPr>
          <w:rFonts w:hint="eastAsia" w:ascii="仿宋_GB2312" w:hAnsi="Verdana" w:eastAsia="仿宋_GB2312" w:cstheme="minorBidi"/>
          <w:color w:val="333333"/>
          <w:sz w:val="30"/>
          <w:szCs w:val="30"/>
          <w:lang w:val="en-US" w:eastAsia="zh-CN"/>
        </w:rPr>
        <w:t>6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.职业面向：职业面向主要描述可满足学生就业的主要岗位与相关岗位；职业岗位主要职责（业务）描述是在工作任务分析的基础上，说明就业岗位、工作任务、职业能力和素质要求与课程之间的关系以及对应的能力评价标准。</w:t>
      </w:r>
    </w:p>
    <w:p>
      <w:pPr>
        <w:pStyle w:val="2"/>
        <w:spacing w:line="240" w:lineRule="auto"/>
        <w:ind w:firstLine="600" w:firstLineChars="200"/>
        <w:rPr>
          <w:rFonts w:hint="eastAsia" w:ascii="仿宋_GB2312" w:hAnsi="Verdana" w:eastAsia="仿宋_GB2312" w:cstheme="minorBidi"/>
          <w:color w:val="333333"/>
          <w:sz w:val="30"/>
          <w:szCs w:val="30"/>
          <w:lang w:val="en-US" w:eastAsia="zh-CN"/>
        </w:rPr>
      </w:pPr>
      <w:r>
        <w:rPr>
          <w:rFonts w:hint="eastAsia" w:ascii="仿宋_GB2312" w:hAnsi="Verdana" w:eastAsia="仿宋_GB2312" w:cstheme="minorBidi"/>
          <w:color w:val="333333"/>
          <w:sz w:val="30"/>
          <w:szCs w:val="30"/>
          <w:lang w:val="en-US" w:eastAsia="zh-CN"/>
        </w:rPr>
        <w:t>7.人才培养模式：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  <w:lang w:eastAsia="zh-CN"/>
        </w:rPr>
        <w:t>根据本专业特定的培养目标和人才规格，依据课程体系架构选择适合专业发展的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人才培养模式构建体系。培养学生良好的自主学习能力，注重实践教学，课程体系建设与社会岗位需求对接。注重因材施教，关注学生不同特点和个性差异，发展每一个学生的优势潜能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  <w:lang w:eastAsia="zh-CN"/>
        </w:rPr>
        <w:t>。</w:t>
      </w:r>
    </w:p>
    <w:p>
      <w:pPr>
        <w:pStyle w:val="2"/>
        <w:spacing w:line="240" w:lineRule="auto"/>
        <w:ind w:firstLine="600" w:firstLineChars="200"/>
        <w:rPr>
          <w:rFonts w:hint="eastAsia" w:ascii="仿宋_GB2312" w:hAnsi="Verdana" w:eastAsia="仿宋_GB2312" w:cstheme="minorBidi"/>
          <w:color w:val="333333"/>
          <w:sz w:val="30"/>
          <w:szCs w:val="30"/>
        </w:rPr>
      </w:pPr>
      <w:r>
        <w:rPr>
          <w:rFonts w:hint="eastAsia" w:ascii="仿宋_GB2312" w:hAnsi="Verdana" w:eastAsia="仿宋_GB2312" w:cstheme="minorBidi"/>
          <w:color w:val="333333"/>
          <w:sz w:val="30"/>
          <w:szCs w:val="30"/>
          <w:lang w:val="en-US" w:eastAsia="zh-CN"/>
        </w:rPr>
        <w:t>8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.课程体系与教育教学活动安排：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  <w:lang w:eastAsia="zh-CN"/>
        </w:rPr>
        <w:t>根据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职业岗位、典型工作任务要求，确定专业课程设置，此项内容以表格形式体现。</w:t>
      </w:r>
    </w:p>
    <w:p>
      <w:pPr>
        <w:pStyle w:val="2"/>
        <w:spacing w:line="240" w:lineRule="auto"/>
        <w:ind w:firstLine="600" w:firstLineChars="200"/>
        <w:rPr>
          <w:rFonts w:ascii="仿宋_GB2312" w:hAnsi="Verdana" w:eastAsia="仿宋_GB2312" w:cstheme="minorBidi"/>
          <w:color w:val="00B0F0"/>
          <w:sz w:val="30"/>
          <w:szCs w:val="30"/>
        </w:rPr>
      </w:pPr>
      <w:r>
        <w:rPr>
          <w:rFonts w:hint="eastAsia" w:ascii="仿宋_GB2312" w:hAnsi="Verdana" w:eastAsia="仿宋_GB2312" w:cstheme="minorBidi"/>
          <w:color w:val="333333"/>
          <w:sz w:val="30"/>
          <w:szCs w:val="30"/>
          <w:lang w:val="en-US" w:eastAsia="zh-CN"/>
        </w:rPr>
        <w:t>9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.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  <w:lang w:eastAsia="zh-CN"/>
        </w:rPr>
        <w:t>教学进程中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学期考证安排：</w:t>
      </w:r>
      <w:r>
        <w:rPr>
          <w:rFonts w:hint="eastAsia" w:ascii="仿宋_GB2312" w:hAnsi="Verdana" w:eastAsia="仿宋_GB2312" w:cstheme="minorBidi"/>
          <w:color w:val="00B0F0"/>
          <w:sz w:val="30"/>
          <w:szCs w:val="30"/>
        </w:rPr>
        <w:t>考证时间安排合理，原则上三年制（高级）安排在第五学期进行。职业（工种）名称填写全称，不得简写；发证部门填写准确（荆州市或湖北省职业技能鉴定中心、某行业协会等）。</w:t>
      </w:r>
    </w:p>
    <w:p>
      <w:pPr>
        <w:pStyle w:val="2"/>
        <w:spacing w:line="240" w:lineRule="auto"/>
        <w:ind w:firstLine="600" w:firstLineChars="200"/>
        <w:rPr>
          <w:rFonts w:ascii="仿宋_GB2312" w:hAnsi="Verdana" w:eastAsia="仿宋_GB2312" w:cstheme="minorBidi"/>
          <w:color w:val="333333"/>
          <w:sz w:val="30"/>
          <w:szCs w:val="30"/>
        </w:rPr>
      </w:pP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10.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  <w:lang w:eastAsia="zh-CN"/>
        </w:rPr>
        <w:t>教学进程中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选修课教学安排：选修课指校级公选课，第二至四学期开课。</w:t>
      </w:r>
    </w:p>
    <w:p>
      <w:pPr>
        <w:pStyle w:val="2"/>
        <w:spacing w:line="240" w:lineRule="auto"/>
        <w:ind w:firstLine="600" w:firstLineChars="200"/>
        <w:rPr>
          <w:rFonts w:ascii="仿宋_GB2312" w:hAnsi="Verdana" w:eastAsia="仿宋_GB2312" w:cstheme="minorBidi"/>
          <w:color w:val="333333"/>
          <w:sz w:val="30"/>
          <w:szCs w:val="30"/>
        </w:rPr>
      </w:pP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11.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  <w:lang w:eastAsia="zh-CN"/>
        </w:rPr>
        <w:t>教学进程中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实践教学环节安排：说明第一、第二、第三学年实践教学安排，第三学年顶岗实习教学安排和校内学生拓展与创新活动。</w:t>
      </w:r>
    </w:p>
    <w:p>
      <w:pPr>
        <w:pStyle w:val="2"/>
        <w:spacing w:line="240" w:lineRule="auto"/>
        <w:ind w:firstLine="600" w:firstLineChars="200"/>
        <w:rPr>
          <w:rFonts w:hint="eastAsia" w:ascii="仿宋_GB2312" w:hAnsi="Verdana" w:eastAsia="仿宋_GB2312" w:cstheme="minorBidi"/>
          <w:color w:val="333333"/>
          <w:sz w:val="30"/>
          <w:szCs w:val="30"/>
        </w:rPr>
      </w:pPr>
      <w:r>
        <w:rPr>
          <w:rFonts w:hint="eastAsia" w:ascii="仿宋_GB2312" w:hAnsi="Verdana" w:eastAsia="仿宋_GB2312" w:cstheme="minorBidi"/>
          <w:color w:val="333333"/>
          <w:sz w:val="30"/>
          <w:szCs w:val="30"/>
          <w:lang w:val="en-US" w:eastAsia="zh-CN"/>
        </w:rPr>
        <w:t>12.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专业课程介绍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  <w:lang w:eastAsia="zh-CN"/>
        </w:rPr>
        <w:t>：根据本专业培养目标，对开设的专业课程内容描述和要达到的岗位目标介绍。</w:t>
      </w:r>
    </w:p>
    <w:p>
      <w:pPr>
        <w:pStyle w:val="2"/>
        <w:spacing w:line="240" w:lineRule="auto"/>
        <w:ind w:firstLine="600" w:firstLineChars="200"/>
        <w:rPr>
          <w:rFonts w:ascii="仿宋_GB2312" w:hAnsi="Verdana" w:eastAsia="仿宋_GB2312" w:cstheme="minorBidi"/>
          <w:color w:val="333333"/>
          <w:sz w:val="30"/>
          <w:szCs w:val="30"/>
        </w:rPr>
      </w:pPr>
      <w:r>
        <w:rPr>
          <w:rFonts w:hint="eastAsia" w:ascii="仿宋_GB2312" w:hAnsi="Verdana" w:eastAsia="仿宋_GB2312" w:cstheme="minorBidi"/>
          <w:color w:val="333333"/>
          <w:sz w:val="30"/>
          <w:szCs w:val="30"/>
          <w:lang w:val="en-US" w:eastAsia="zh-CN"/>
        </w:rPr>
        <w:t>13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.教学基本条件：说明为实现本专业培养目标，应配备的主要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  <w:lang w:eastAsia="zh-CN"/>
        </w:rPr>
        <w:t>师资队伍、教学设施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。用文字描述。</w:t>
      </w:r>
    </w:p>
    <w:p>
      <w:pPr>
        <w:ind w:firstLine="450" w:firstLineChars="15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（二）课程安排分为课内教学和集中实践教学。课内教学含理论教学和课内实践教学两部分，理论教学包括课程讲授、课堂讨论、习题课等教学环节，课内实践是指依附于理论课程设置的实验实训和技能训练等，包括上机、实验等形式。集中实践教学环节包括专项技能实训、认识实习、生产实习、课程设计、毕业设计（论文）、军事训练、入学教育、公益劳动、毕业教育、毕业实习、顶岗实习等环节。实践教学课时比例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</w:rPr>
        <w:t>不低于50%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。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（三）课程结构包含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  <w:lang w:eastAsia="zh-CN"/>
        </w:rPr>
        <w:t>公共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</w:rPr>
        <w:t>素质课程、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  <w:lang w:eastAsia="zh-CN"/>
        </w:rPr>
        <w:t>专业基础课程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</w:rPr>
        <w:t>、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  <w:lang w:eastAsia="zh-CN"/>
        </w:rPr>
        <w:t>专业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</w:rPr>
        <w:t>核心课程及部分专业的拓展能力课程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。期中实践教学环节包含综合能力课程和专项能力课程。课程结构比例如下：</w:t>
      </w:r>
      <w:r>
        <w:rPr>
          <w:rFonts w:hint="eastAsia" w:ascii="仿宋_GB2312" w:hAnsi="Verdana" w:eastAsia="仿宋_GB2312"/>
          <w:color w:val="333333"/>
          <w:sz w:val="30"/>
          <w:szCs w:val="30"/>
          <w:lang w:eastAsia="zh-CN"/>
        </w:rPr>
        <w:t>公共素质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课程（必修部分含思想政治课、体育、高等数学、大学英语、应用文写作、计算机文化基础等）课时占课内总学时</w:t>
      </w:r>
      <w:r>
        <w:rPr>
          <w:rFonts w:ascii="仿宋_GB2312" w:hAnsi="Verdana" w:eastAsia="仿宋_GB2312"/>
          <w:color w:val="333333"/>
          <w:sz w:val="30"/>
          <w:szCs w:val="30"/>
          <w:highlight w:val="yellow"/>
        </w:rPr>
        <w:t xml:space="preserve"> 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  <w:lang w:val="en-US" w:eastAsia="zh-CN"/>
        </w:rPr>
        <w:t>25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</w:rPr>
        <w:t>%</w:t>
      </w:r>
      <w:r>
        <w:rPr>
          <w:rFonts w:hint="eastAsia" w:ascii="仿宋_GB2312" w:hAnsi="Verdana" w:eastAsia="仿宋_GB2312"/>
          <w:color w:val="333333"/>
          <w:sz w:val="30"/>
          <w:szCs w:val="30"/>
          <w:lang w:eastAsia="zh-CN"/>
        </w:rPr>
        <w:t>以上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；选修课</w:t>
      </w:r>
      <w:r>
        <w:rPr>
          <w:rFonts w:hint="eastAsia" w:ascii="仿宋_GB2312" w:hAnsi="Verdana" w:eastAsia="仿宋_GB2312"/>
          <w:color w:val="333333"/>
          <w:sz w:val="30"/>
          <w:szCs w:val="30"/>
          <w:lang w:eastAsia="zh-CN"/>
        </w:rPr>
        <w:t>程课时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数占总学时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  <w:lang w:val="en-US" w:eastAsia="zh-CN"/>
        </w:rPr>
        <w:t>10%</w:t>
      </w:r>
      <w:r>
        <w:rPr>
          <w:rFonts w:hint="eastAsia" w:ascii="仿宋_GB2312" w:hAnsi="Verdana" w:eastAsia="仿宋_GB2312"/>
          <w:color w:val="333333"/>
          <w:sz w:val="30"/>
          <w:szCs w:val="30"/>
          <w:lang w:val="en-US" w:eastAsia="zh-CN"/>
        </w:rPr>
        <w:t>以上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。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（四）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</w:rPr>
        <w:t>确定6—8门专业核心课程和若干门专业课程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；能力拓展课程门数一般不少于3门课程（各专业可根据专业特点自行设置课程门数和安排修读时间）。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（五）</w:t>
      </w:r>
      <w:r>
        <w:rPr>
          <w:rFonts w:hint="eastAsia" w:ascii="仿宋_GB2312" w:hAnsi="Verdana" w:eastAsia="仿宋_GB2312"/>
          <w:color w:val="333333"/>
          <w:sz w:val="30"/>
          <w:szCs w:val="30"/>
          <w:lang w:eastAsia="zh-CN"/>
        </w:rPr>
        <w:t>公共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素质课程（选修课部分）由各系部提供课程资源，教务处统一编排公选课一览表。每名学生选修</w:t>
      </w:r>
      <w:r>
        <w:rPr>
          <w:rFonts w:hint="eastAsia" w:ascii="仿宋_GB2312" w:hAnsi="Verdana" w:eastAsia="仿宋_GB2312"/>
          <w:color w:val="333333"/>
          <w:sz w:val="30"/>
          <w:szCs w:val="30"/>
          <w:lang w:eastAsia="zh-CN"/>
        </w:rPr>
        <w:t>课不超过总学分的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  <w:lang w:val="en-US" w:eastAsia="zh-CN"/>
        </w:rPr>
        <w:t>15%</w:t>
      </w:r>
      <w:r>
        <w:rPr>
          <w:rFonts w:ascii="仿宋_GB2312" w:hAnsi="Verdana" w:eastAsia="仿宋_GB2312"/>
          <w:color w:val="333333"/>
          <w:sz w:val="30"/>
          <w:szCs w:val="30"/>
          <w:highlight w:val="yellow"/>
        </w:rPr>
        <w:t xml:space="preserve"> 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，在2—4学期内安排修读时间。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（六）学时安排方面，要保证公共基础课的教学要求；兼顾学生通用能力课程的学时安排；优先安排理论与实践结合紧密的一体化课程；体现学生个性发展以及扩大知识面方面的课程，可以采用讲座、选修等形式安排。《心理健康教育》、《形势与政策》、《职业道德与就业指导》各为1学分，以讲座和社会实践的形式开设，三门课共折合学时为每学期每周1节。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（七）高等数学、大学英语、大学语文、体育、计算机文化基础等公共基础课程，要加大改革力度，要将课程目标与专业培养目标融合，教学内容为专业能力服务，创新优化设计。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（八）教学进程的学时安排：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ascii="仿宋_GB2312" w:hAnsi="Verdana" w:eastAsia="仿宋_GB2312"/>
          <w:color w:val="333333"/>
          <w:sz w:val="30"/>
          <w:szCs w:val="30"/>
        </w:rPr>
        <w:t>1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 xml:space="preserve">. 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</w:rPr>
        <w:t>三年制专业总学时控制在2500-2700学时，其中课内总学时控制在1600-1800学时（包括课堂讲授、课内上机、实验和实训课等，其中课堂讲授约为70%，课内实践约为30%）。平均周学时控制在2</w:t>
      </w:r>
      <w:r>
        <w:rPr>
          <w:rFonts w:ascii="仿宋_GB2312" w:hAnsi="Verdana" w:eastAsia="仿宋_GB2312"/>
          <w:color w:val="333333"/>
          <w:sz w:val="30"/>
          <w:szCs w:val="30"/>
          <w:highlight w:val="yellow"/>
        </w:rPr>
        <w:t>4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</w:rPr>
        <w:t>-2</w:t>
      </w:r>
      <w:r>
        <w:rPr>
          <w:rFonts w:ascii="仿宋_GB2312" w:hAnsi="Verdana" w:eastAsia="仿宋_GB2312"/>
          <w:color w:val="333333"/>
          <w:sz w:val="30"/>
          <w:szCs w:val="30"/>
          <w:highlight w:val="yellow"/>
        </w:rPr>
        <w:t>8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</w:rPr>
        <w:t>学时/周。两年制专业总学时控制在1700-1900学时，课内总学时一般为1100-1200学时。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ascii="仿宋_GB2312" w:hAnsi="Verdana" w:eastAsia="仿宋_GB2312"/>
          <w:color w:val="333333"/>
          <w:sz w:val="30"/>
          <w:szCs w:val="30"/>
        </w:rPr>
        <w:t>2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. 理论教学和课内实践教学按16学时计1学分，集中实践教学每周计1学分。三年制总学分</w:t>
      </w:r>
      <w:r>
        <w:rPr>
          <w:rFonts w:hint="eastAsia" w:ascii="仿宋_GB2312" w:hAnsi="Verdana" w:eastAsia="仿宋_GB2312"/>
          <w:color w:val="333333"/>
          <w:sz w:val="30"/>
          <w:szCs w:val="30"/>
          <w:lang w:eastAsia="zh-CN"/>
        </w:rPr>
        <w:t>不低于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14</w:t>
      </w:r>
      <w:r>
        <w:rPr>
          <w:rFonts w:hint="eastAsia" w:ascii="仿宋_GB2312" w:hAnsi="Verdana" w:eastAsia="仿宋_GB2312"/>
          <w:color w:val="333333"/>
          <w:sz w:val="30"/>
          <w:szCs w:val="30"/>
          <w:lang w:val="en-US" w:eastAsia="zh-CN"/>
        </w:rPr>
        <w:t>0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学分。两年制总学分为100学分左右。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ascii="仿宋_GB2312" w:hAnsi="Verdana" w:eastAsia="仿宋_GB2312"/>
          <w:color w:val="333333"/>
          <w:sz w:val="30"/>
          <w:szCs w:val="30"/>
        </w:rPr>
        <w:t>3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. 集中实践教学环节按</w:t>
      </w:r>
      <w:r>
        <w:rPr>
          <w:rFonts w:ascii="仿宋_GB2312" w:hAnsi="Verdana" w:eastAsia="仿宋_GB2312"/>
          <w:color w:val="333333"/>
          <w:sz w:val="30"/>
          <w:szCs w:val="30"/>
        </w:rPr>
        <w:t>30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学时/周计。其中顶岗实习时间不低于半年。</w:t>
      </w:r>
      <w:r>
        <w:rPr>
          <w:rFonts w:hint="eastAsia" w:ascii="仿宋_GB2312" w:hAnsi="Verdana" w:eastAsia="仿宋_GB2312"/>
          <w:color w:val="333333"/>
          <w:sz w:val="30"/>
          <w:szCs w:val="30"/>
          <w:highlight w:val="yellow"/>
        </w:rPr>
        <w:t>课内实践与集中实践课时之和不少于三年总学时的50%</w:t>
      </w:r>
      <w:r>
        <w:rPr>
          <w:rFonts w:hint="eastAsia" w:ascii="仿宋_GB2312" w:hAnsi="Verdana" w:eastAsia="仿宋_GB2312"/>
          <w:color w:val="333333"/>
          <w:sz w:val="30"/>
          <w:szCs w:val="30"/>
        </w:rPr>
        <w:t>。</w:t>
      </w:r>
    </w:p>
    <w:p>
      <w:pPr>
        <w:ind w:firstLine="600" w:firstLineChars="200"/>
        <w:rPr>
          <w:rFonts w:ascii="仿宋_GB2312" w:hAnsi="Verdana" w:eastAsia="仿宋_GB2312"/>
          <w:color w:val="333333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四、有关要求</w:t>
      </w:r>
    </w:p>
    <w:p>
      <w:pPr>
        <w:pStyle w:val="2"/>
        <w:spacing w:line="240" w:lineRule="auto"/>
        <w:ind w:firstLine="600" w:firstLineChars="200"/>
        <w:rPr>
          <w:rFonts w:ascii="仿宋_GB2312" w:hAnsi="Verdana" w:eastAsia="仿宋_GB2312" w:cstheme="minorBidi"/>
          <w:color w:val="333333"/>
          <w:sz w:val="30"/>
          <w:szCs w:val="30"/>
        </w:rPr>
      </w:pP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1.《人才培养方案》由教务处、学部统一管理，并由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  <w:lang w:eastAsia="zh-CN"/>
        </w:rPr>
        <w:t>系部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组织实施。</w:t>
      </w:r>
    </w:p>
    <w:p>
      <w:pPr>
        <w:pStyle w:val="2"/>
        <w:spacing w:line="240" w:lineRule="auto"/>
        <w:ind w:firstLine="600" w:firstLineChars="200"/>
        <w:rPr>
          <w:rFonts w:ascii="仿宋_GB2312" w:hAnsi="Verdana" w:eastAsia="仿宋_GB2312" w:cstheme="minorBidi"/>
          <w:color w:val="333333"/>
          <w:sz w:val="30"/>
          <w:szCs w:val="30"/>
        </w:rPr>
      </w:pP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2.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  <w:lang w:eastAsia="zh-CN"/>
        </w:rPr>
        <w:t>系部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根据《人才培养方案》的教学进程，安排每学期教学任务。</w:t>
      </w:r>
    </w:p>
    <w:p>
      <w:pPr>
        <w:pStyle w:val="2"/>
        <w:spacing w:line="240" w:lineRule="auto"/>
        <w:ind w:firstLine="600" w:firstLineChars="200"/>
        <w:rPr>
          <w:rFonts w:ascii="仿宋_GB2312" w:hAnsi="Verdana" w:eastAsia="仿宋_GB2312" w:cstheme="minorBidi"/>
          <w:color w:val="333333"/>
          <w:sz w:val="30"/>
          <w:szCs w:val="30"/>
        </w:rPr>
      </w:pP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3.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  <w:lang w:eastAsia="zh-CN"/>
        </w:rPr>
        <w:t>系部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根据学期总体教学安排，落实任课教师，下发任课通知书。</w:t>
      </w:r>
    </w:p>
    <w:p>
      <w:pPr>
        <w:pStyle w:val="2"/>
        <w:spacing w:line="240" w:lineRule="auto"/>
        <w:ind w:firstLine="600" w:firstLineChars="200"/>
        <w:rPr>
          <w:rFonts w:ascii="仿宋_GB2312" w:hAnsi="Verdana" w:eastAsia="仿宋_GB2312" w:cstheme="minorBidi"/>
          <w:color w:val="333333"/>
          <w:sz w:val="30"/>
          <w:szCs w:val="30"/>
        </w:rPr>
      </w:pP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4.《人才培养方案》所确定的各项内容，均不得随意改动。执行过程中如遇特殊情况需局部调整，必须经各系书面申述理由，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  <w:lang w:eastAsia="zh-CN"/>
        </w:rPr>
        <w:t>系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部</w:t>
      </w:r>
      <w:r>
        <w:rPr>
          <w:rFonts w:ascii="仿宋_GB2312" w:hAnsi="Verdana" w:eastAsia="仿宋_GB2312" w:cstheme="minorBidi"/>
          <w:color w:val="333333"/>
          <w:sz w:val="30"/>
          <w:szCs w:val="30"/>
        </w:rPr>
        <w:t>、</w:t>
      </w:r>
      <w:r>
        <w:rPr>
          <w:rFonts w:hint="eastAsia" w:ascii="仿宋_GB2312" w:hAnsi="Verdana" w:eastAsia="仿宋_GB2312" w:cstheme="minorBidi"/>
          <w:color w:val="333333"/>
          <w:sz w:val="30"/>
          <w:szCs w:val="30"/>
        </w:rPr>
        <w:t>教务处提出审核意见，报教学校长审批。</w:t>
      </w:r>
    </w:p>
    <w:p>
      <w:pPr>
        <w:ind w:firstLine="600" w:firstLineChars="200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Verdana" w:eastAsia="仿宋_GB2312"/>
          <w:color w:val="333333"/>
          <w:sz w:val="30"/>
          <w:szCs w:val="30"/>
        </w:rPr>
        <w:t>本方案解释权归教务处。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</w:t>
      </w:r>
      <w:r>
        <w:rPr>
          <w:rFonts w:ascii="仿宋" w:hAnsi="仿宋" w:eastAsia="仿宋"/>
          <w:sz w:val="28"/>
          <w:szCs w:val="28"/>
        </w:rPr>
        <w:t xml:space="preserve">                   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              </w:t>
      </w:r>
      <w:r>
        <w:rPr>
          <w:rFonts w:hint="eastAsia"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年4月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rPr>
          <w:rFonts w:ascii="方正小标宋简体" w:hAnsi="仿宋" w:eastAsia="方正小标宋简体" w:cs="仿宋"/>
          <w:color w:val="000000"/>
          <w:sz w:val="44"/>
          <w:szCs w:val="44"/>
        </w:rPr>
      </w:pPr>
    </w:p>
    <w:p>
      <w:pPr>
        <w:rPr>
          <w:rFonts w:ascii="方正小标宋简体" w:hAnsi="仿宋" w:eastAsia="方正小标宋简体" w:cs="仿宋"/>
          <w:color w:val="000000"/>
          <w:sz w:val="44"/>
          <w:szCs w:val="44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附件：《人才培养方案》模板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03B2"/>
    <w:multiLevelType w:val="singleLevel"/>
    <w:tmpl w:val="536703B2"/>
    <w:lvl w:ilvl="0" w:tentative="0">
      <w:start w:val="5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79"/>
    <w:rsid w:val="0008706F"/>
    <w:rsid w:val="000A79B9"/>
    <w:rsid w:val="000D6B9F"/>
    <w:rsid w:val="00114915"/>
    <w:rsid w:val="00200325"/>
    <w:rsid w:val="00201D46"/>
    <w:rsid w:val="00255329"/>
    <w:rsid w:val="002832D6"/>
    <w:rsid w:val="00295E20"/>
    <w:rsid w:val="002D68EF"/>
    <w:rsid w:val="00374F6F"/>
    <w:rsid w:val="00436539"/>
    <w:rsid w:val="005754C4"/>
    <w:rsid w:val="0062728B"/>
    <w:rsid w:val="00676BC5"/>
    <w:rsid w:val="006911D6"/>
    <w:rsid w:val="006A12E3"/>
    <w:rsid w:val="006F0EDD"/>
    <w:rsid w:val="00707A06"/>
    <w:rsid w:val="00745D09"/>
    <w:rsid w:val="007F399D"/>
    <w:rsid w:val="008207D2"/>
    <w:rsid w:val="0084052C"/>
    <w:rsid w:val="008459A8"/>
    <w:rsid w:val="00896572"/>
    <w:rsid w:val="008967FF"/>
    <w:rsid w:val="0093354D"/>
    <w:rsid w:val="00986E20"/>
    <w:rsid w:val="009B0213"/>
    <w:rsid w:val="009F2732"/>
    <w:rsid w:val="00A25A32"/>
    <w:rsid w:val="00A9631D"/>
    <w:rsid w:val="00AA08E4"/>
    <w:rsid w:val="00AD1210"/>
    <w:rsid w:val="00B63945"/>
    <w:rsid w:val="00B722C6"/>
    <w:rsid w:val="00C05C79"/>
    <w:rsid w:val="00C140C3"/>
    <w:rsid w:val="00C93F0A"/>
    <w:rsid w:val="00CE0DB7"/>
    <w:rsid w:val="00D8107A"/>
    <w:rsid w:val="00DA132E"/>
    <w:rsid w:val="00DD3D56"/>
    <w:rsid w:val="00E0203A"/>
    <w:rsid w:val="00E3044B"/>
    <w:rsid w:val="00E57819"/>
    <w:rsid w:val="00E604F0"/>
    <w:rsid w:val="00E7363D"/>
    <w:rsid w:val="00E96F5B"/>
    <w:rsid w:val="00EB005D"/>
    <w:rsid w:val="00EE010E"/>
    <w:rsid w:val="00F02714"/>
    <w:rsid w:val="00F150FA"/>
    <w:rsid w:val="00F60952"/>
    <w:rsid w:val="00F7784A"/>
    <w:rsid w:val="00FD2158"/>
    <w:rsid w:val="01C656EF"/>
    <w:rsid w:val="035600D1"/>
    <w:rsid w:val="0369364C"/>
    <w:rsid w:val="05BC7A94"/>
    <w:rsid w:val="05D93524"/>
    <w:rsid w:val="06071AD4"/>
    <w:rsid w:val="06D92A0F"/>
    <w:rsid w:val="07723B5E"/>
    <w:rsid w:val="077D4492"/>
    <w:rsid w:val="09AE4548"/>
    <w:rsid w:val="0A3C766A"/>
    <w:rsid w:val="0A8A2A1A"/>
    <w:rsid w:val="0AB7281E"/>
    <w:rsid w:val="0D8D2A42"/>
    <w:rsid w:val="0E257D2A"/>
    <w:rsid w:val="0E78317C"/>
    <w:rsid w:val="0EC14B1E"/>
    <w:rsid w:val="0EFB1085"/>
    <w:rsid w:val="10947E04"/>
    <w:rsid w:val="10DB3552"/>
    <w:rsid w:val="11877CAC"/>
    <w:rsid w:val="11C36261"/>
    <w:rsid w:val="12F739DF"/>
    <w:rsid w:val="134F30F4"/>
    <w:rsid w:val="141D5DB1"/>
    <w:rsid w:val="150A6F5F"/>
    <w:rsid w:val="15425304"/>
    <w:rsid w:val="16870EE0"/>
    <w:rsid w:val="171C734A"/>
    <w:rsid w:val="175D4DDA"/>
    <w:rsid w:val="181D7DD2"/>
    <w:rsid w:val="191713D2"/>
    <w:rsid w:val="191F7F07"/>
    <w:rsid w:val="19D50F77"/>
    <w:rsid w:val="1B07032B"/>
    <w:rsid w:val="1C232A84"/>
    <w:rsid w:val="1CCF377B"/>
    <w:rsid w:val="1CEF74DB"/>
    <w:rsid w:val="1DE972C4"/>
    <w:rsid w:val="1E746A9C"/>
    <w:rsid w:val="1FB41F44"/>
    <w:rsid w:val="20C70D7F"/>
    <w:rsid w:val="21A93F27"/>
    <w:rsid w:val="21ED4EBE"/>
    <w:rsid w:val="23307D36"/>
    <w:rsid w:val="23A02AFA"/>
    <w:rsid w:val="24596646"/>
    <w:rsid w:val="248B67CD"/>
    <w:rsid w:val="2524729C"/>
    <w:rsid w:val="260B2300"/>
    <w:rsid w:val="2650171A"/>
    <w:rsid w:val="2674401E"/>
    <w:rsid w:val="268B2093"/>
    <w:rsid w:val="27076E2B"/>
    <w:rsid w:val="27231CA1"/>
    <w:rsid w:val="286320AB"/>
    <w:rsid w:val="29B440B8"/>
    <w:rsid w:val="2B525F62"/>
    <w:rsid w:val="2C423665"/>
    <w:rsid w:val="2C5D1C60"/>
    <w:rsid w:val="2CC03AA6"/>
    <w:rsid w:val="2DB2104E"/>
    <w:rsid w:val="2E1844E5"/>
    <w:rsid w:val="2E627A07"/>
    <w:rsid w:val="2F12024F"/>
    <w:rsid w:val="2F812BA0"/>
    <w:rsid w:val="30AB194C"/>
    <w:rsid w:val="32F0490D"/>
    <w:rsid w:val="33620BE2"/>
    <w:rsid w:val="348F4D30"/>
    <w:rsid w:val="350362BC"/>
    <w:rsid w:val="351C44DF"/>
    <w:rsid w:val="354730E6"/>
    <w:rsid w:val="3694007D"/>
    <w:rsid w:val="38217955"/>
    <w:rsid w:val="398F19CD"/>
    <w:rsid w:val="39E011D6"/>
    <w:rsid w:val="3A0D119D"/>
    <w:rsid w:val="3B3367E9"/>
    <w:rsid w:val="3C534462"/>
    <w:rsid w:val="3D6B005A"/>
    <w:rsid w:val="3DD351EB"/>
    <w:rsid w:val="3DEC0EC1"/>
    <w:rsid w:val="3E1A191A"/>
    <w:rsid w:val="3EAB0110"/>
    <w:rsid w:val="3F3E011C"/>
    <w:rsid w:val="3F9B4C3C"/>
    <w:rsid w:val="41DC1384"/>
    <w:rsid w:val="41E05835"/>
    <w:rsid w:val="439338C1"/>
    <w:rsid w:val="455754E2"/>
    <w:rsid w:val="476A458B"/>
    <w:rsid w:val="47FE2065"/>
    <w:rsid w:val="49104A74"/>
    <w:rsid w:val="4A19762A"/>
    <w:rsid w:val="4AC40723"/>
    <w:rsid w:val="4BCE471A"/>
    <w:rsid w:val="4E61468A"/>
    <w:rsid w:val="4E752BC3"/>
    <w:rsid w:val="4EA05F48"/>
    <w:rsid w:val="4EC73F30"/>
    <w:rsid w:val="4FCF26C6"/>
    <w:rsid w:val="50967967"/>
    <w:rsid w:val="55D34750"/>
    <w:rsid w:val="56021780"/>
    <w:rsid w:val="56A0538D"/>
    <w:rsid w:val="56F958BE"/>
    <w:rsid w:val="58047FE6"/>
    <w:rsid w:val="58423757"/>
    <w:rsid w:val="58750BDA"/>
    <w:rsid w:val="589054CB"/>
    <w:rsid w:val="58E518B7"/>
    <w:rsid w:val="595006EC"/>
    <w:rsid w:val="5BCA4828"/>
    <w:rsid w:val="5C253312"/>
    <w:rsid w:val="5C4E4201"/>
    <w:rsid w:val="5CAE139E"/>
    <w:rsid w:val="5DBF5B2C"/>
    <w:rsid w:val="5DCA33A5"/>
    <w:rsid w:val="5F6A7B70"/>
    <w:rsid w:val="60C122F0"/>
    <w:rsid w:val="61C8598D"/>
    <w:rsid w:val="625450D3"/>
    <w:rsid w:val="62D47107"/>
    <w:rsid w:val="62E17C6F"/>
    <w:rsid w:val="635F0DB9"/>
    <w:rsid w:val="64B71AB6"/>
    <w:rsid w:val="66D252EC"/>
    <w:rsid w:val="68131949"/>
    <w:rsid w:val="68E6249E"/>
    <w:rsid w:val="698C7F7C"/>
    <w:rsid w:val="69F26989"/>
    <w:rsid w:val="6A2618AB"/>
    <w:rsid w:val="6A6A685D"/>
    <w:rsid w:val="6B500D0C"/>
    <w:rsid w:val="6C5D3110"/>
    <w:rsid w:val="6C9959D5"/>
    <w:rsid w:val="6EBD2B46"/>
    <w:rsid w:val="6F45630B"/>
    <w:rsid w:val="6F950FEE"/>
    <w:rsid w:val="6FA65528"/>
    <w:rsid w:val="71AE140D"/>
    <w:rsid w:val="72EB26B5"/>
    <w:rsid w:val="73095105"/>
    <w:rsid w:val="73B51D06"/>
    <w:rsid w:val="744D30ED"/>
    <w:rsid w:val="75731CDC"/>
    <w:rsid w:val="76912057"/>
    <w:rsid w:val="775B0233"/>
    <w:rsid w:val="784452D7"/>
    <w:rsid w:val="78CD7482"/>
    <w:rsid w:val="7A374A8D"/>
    <w:rsid w:val="7AAE0F58"/>
    <w:rsid w:val="7B6B1B25"/>
    <w:rsid w:val="7D22477E"/>
    <w:rsid w:val="7D845561"/>
    <w:rsid w:val="7DF3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spacing w:line="440" w:lineRule="atLeast"/>
      <w:ind w:firstLine="482"/>
    </w:pPr>
    <w:rPr>
      <w:rFonts w:ascii="宋体" w:hAnsi="宋体" w:eastAsia="宋体" w:cs="Times New Roman"/>
      <w:sz w:val="24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qFormat/>
    <w:uiPriority w:val="0"/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505</Words>
  <Characters>2884</Characters>
  <Lines>24</Lines>
  <Paragraphs>6</Paragraphs>
  <TotalTime>3</TotalTime>
  <ScaleCrop>false</ScaleCrop>
  <LinksUpToDate>false</LinksUpToDate>
  <CharactersWithSpaces>3383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2019-04-03T02:17:00Z</dcterms:created>
  <dc:creator>Administrator</dc:creator>
  <cp:lastModifiedBy>Administrator</cp:lastModifiedBy>
  <dcterms:modified xsi:type="dcterms:W3CDTF">2020-04-05T03:37:09Z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