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bCs/>
          <w:color w:val="auto"/>
          <w:sz w:val="32"/>
        </w:rPr>
      </w:pPr>
      <w:bookmarkStart w:id="0" w:name="_Toc145494003"/>
      <w:r>
        <w:rPr>
          <w:rFonts w:hint="eastAsia" w:ascii="黑体" w:hAnsi="黑体" w:eastAsia="黑体"/>
          <w:bCs/>
          <w:color w:val="auto"/>
          <w:sz w:val="32"/>
        </w:rPr>
        <w:t>长江艺术工程职业学院教学事故界定及处理办法</w:t>
      </w:r>
      <w:bookmarkEnd w:id="0"/>
    </w:p>
    <w:p>
      <w:pPr>
        <w:ind w:firstLine="420" w:firstLineChars="200"/>
        <w:rPr>
          <w:rFonts w:hint="eastAsia" w:ascii="宋体" w:hAnsi="宋体"/>
          <w:color w:val="auto"/>
          <w:szCs w:val="21"/>
        </w:rPr>
      </w:pPr>
      <w:r>
        <w:rPr>
          <w:rFonts w:hint="eastAsia" w:ascii="宋体" w:hAnsi="宋体"/>
          <w:color w:val="auto"/>
          <w:szCs w:val="21"/>
        </w:rPr>
        <w:t>为了加强对教学过程的管理，保证正常的教学秩序，及时有效地处理教学环节中的各种事故，促进教风、学风和校风建设，提高教学质量，特制定本办法。</w:t>
      </w:r>
    </w:p>
    <w:p>
      <w:pPr>
        <w:jc w:val="center"/>
        <w:rPr>
          <w:rFonts w:hint="eastAsia" w:ascii="宋体" w:hAnsi="宋体"/>
          <w:b/>
          <w:color w:val="auto"/>
          <w:sz w:val="24"/>
        </w:rPr>
      </w:pPr>
      <w:r>
        <w:rPr>
          <w:rFonts w:hint="eastAsia" w:ascii="宋体" w:hAnsi="宋体"/>
          <w:b/>
          <w:color w:val="auto"/>
          <w:sz w:val="24"/>
        </w:rPr>
        <w:t>教学事故的认定</w:t>
      </w:r>
    </w:p>
    <w:p>
      <w:pPr>
        <w:ind w:firstLine="420" w:firstLineChars="200"/>
        <w:rPr>
          <w:rFonts w:hint="eastAsia" w:ascii="宋体" w:hAnsi="宋体"/>
          <w:color w:val="auto"/>
          <w:szCs w:val="21"/>
        </w:rPr>
      </w:pPr>
      <w:r>
        <w:rPr>
          <w:rFonts w:hint="eastAsia" w:ascii="宋体" w:hAnsi="宋体"/>
          <w:color w:val="auto"/>
          <w:szCs w:val="21"/>
        </w:rPr>
        <w:t>第一条  教学事故是指教学管理部门、教学后勤保障部门、教师、教辅及其他工作人员在教学和教学后勤保障各环节中，由于当事人的故意或过失，给学校的正常教学活动造成不良后果的事件或行为。</w:t>
      </w:r>
    </w:p>
    <w:p>
      <w:pPr>
        <w:ind w:firstLine="420" w:firstLineChars="200"/>
        <w:rPr>
          <w:rFonts w:hint="eastAsia" w:ascii="宋体" w:hAnsi="宋体"/>
          <w:color w:val="auto"/>
          <w:szCs w:val="21"/>
        </w:rPr>
      </w:pPr>
      <w:r>
        <w:rPr>
          <w:rFonts w:hint="eastAsia" w:ascii="宋体" w:hAnsi="宋体"/>
          <w:color w:val="auto"/>
          <w:szCs w:val="21"/>
        </w:rPr>
        <w:t>第二条  教学事故认定范围包括：课堂教学、实践教学、考试、教学管理和后勤保障工作。</w:t>
      </w:r>
    </w:p>
    <w:p>
      <w:pPr>
        <w:ind w:firstLine="420" w:firstLineChars="200"/>
        <w:rPr>
          <w:rFonts w:hint="eastAsia" w:ascii="宋体" w:hAnsi="宋体"/>
          <w:color w:val="auto"/>
          <w:szCs w:val="21"/>
        </w:rPr>
      </w:pPr>
      <w:r>
        <w:rPr>
          <w:rFonts w:hint="eastAsia" w:ascii="宋体" w:hAnsi="宋体"/>
          <w:color w:val="auto"/>
          <w:szCs w:val="21"/>
        </w:rPr>
        <w:t>第三条  依据教学事故给学院的教学活动带来不良后果的程序与影响，分为一般教学事故和重大教学事故两类。具体认定标准见附表。</w:t>
      </w:r>
    </w:p>
    <w:p>
      <w:pPr>
        <w:jc w:val="center"/>
        <w:rPr>
          <w:rFonts w:hint="eastAsia" w:ascii="宋体" w:hAnsi="宋体"/>
          <w:b/>
          <w:color w:val="auto"/>
          <w:sz w:val="24"/>
        </w:rPr>
      </w:pPr>
      <w:r>
        <w:rPr>
          <w:rFonts w:hint="eastAsia" w:ascii="宋体" w:hAnsi="宋体"/>
          <w:b/>
          <w:color w:val="auto"/>
          <w:sz w:val="24"/>
        </w:rPr>
        <w:t>教学事故认定及处理程序</w:t>
      </w:r>
    </w:p>
    <w:p>
      <w:pPr>
        <w:ind w:firstLine="420" w:firstLineChars="200"/>
        <w:rPr>
          <w:rFonts w:hint="eastAsia" w:ascii="宋体" w:hAnsi="宋体"/>
          <w:color w:val="auto"/>
          <w:szCs w:val="21"/>
        </w:rPr>
      </w:pPr>
      <w:r>
        <w:rPr>
          <w:rFonts w:hint="eastAsia" w:ascii="宋体" w:hAnsi="宋体"/>
          <w:color w:val="auto"/>
          <w:szCs w:val="21"/>
        </w:rPr>
        <w:t>第四条   学校教务处、各教学单位对教学工作进行定期检查和抽查，并接受全校师生对教学事故的举报，及时发现和处理教学事故。</w:t>
      </w:r>
    </w:p>
    <w:p>
      <w:pPr>
        <w:ind w:firstLine="420" w:firstLineChars="200"/>
        <w:rPr>
          <w:rFonts w:hint="eastAsia" w:ascii="宋体" w:hAnsi="宋体"/>
          <w:color w:val="auto"/>
          <w:szCs w:val="21"/>
        </w:rPr>
      </w:pPr>
      <w:r>
        <w:rPr>
          <w:rFonts w:hint="eastAsia" w:ascii="宋体" w:hAnsi="宋体"/>
          <w:color w:val="auto"/>
          <w:szCs w:val="21"/>
        </w:rPr>
        <w:t>第五条   教务处根据《教学事故等级认定表》组织对教学事故的调查认定，人事处根据教务处提供的事故认定等级提出处理意见，连同教学事故当事人关于教学事故原因和情况说明，报学校领导审批。</w:t>
      </w:r>
    </w:p>
    <w:p>
      <w:pPr>
        <w:ind w:firstLine="420" w:firstLineChars="200"/>
        <w:rPr>
          <w:rFonts w:hint="eastAsia" w:ascii="宋体" w:hAnsi="宋体"/>
          <w:color w:val="auto"/>
          <w:szCs w:val="21"/>
        </w:rPr>
      </w:pPr>
      <w:r>
        <w:rPr>
          <w:rFonts w:hint="eastAsia" w:ascii="宋体" w:hAnsi="宋体"/>
          <w:color w:val="auto"/>
          <w:szCs w:val="21"/>
        </w:rPr>
        <w:t>第六条  各教学单位发生教学异常，应及时向教务处报告，任何单位与个人都不得隐瞒教学异常现象、包庇教学事故当事人，违者由学校纪检监察部门对该部门负责人作出严肃处理。</w:t>
      </w:r>
    </w:p>
    <w:p>
      <w:pPr>
        <w:ind w:firstLine="420" w:firstLineChars="200"/>
        <w:rPr>
          <w:rFonts w:hint="eastAsia" w:ascii="宋体" w:hAnsi="宋体"/>
          <w:color w:val="auto"/>
          <w:szCs w:val="21"/>
        </w:rPr>
      </w:pPr>
      <w:r>
        <w:rPr>
          <w:rFonts w:hint="eastAsia" w:ascii="宋体" w:hAnsi="宋体"/>
          <w:color w:val="auto"/>
          <w:szCs w:val="21"/>
        </w:rPr>
        <w:t>第七条  教学事故当事人如果对认定及处理结果有异议，可在事故通报后10日向负责认定及处理的有关单位申请复议，逾期视为无异议。</w:t>
      </w:r>
    </w:p>
    <w:p>
      <w:pPr>
        <w:ind w:firstLine="482" w:firstLineChars="200"/>
        <w:jc w:val="center"/>
        <w:rPr>
          <w:rFonts w:hint="eastAsia" w:ascii="宋体" w:hAnsi="宋体"/>
          <w:b/>
          <w:color w:val="auto"/>
          <w:sz w:val="24"/>
        </w:rPr>
      </w:pPr>
      <w:r>
        <w:rPr>
          <w:rFonts w:hint="eastAsia" w:ascii="宋体" w:hAnsi="宋体"/>
          <w:b/>
          <w:color w:val="auto"/>
          <w:sz w:val="24"/>
        </w:rPr>
        <w:t>教学事故的处理</w:t>
      </w:r>
    </w:p>
    <w:p>
      <w:pPr>
        <w:ind w:firstLine="420" w:firstLineChars="200"/>
        <w:rPr>
          <w:rFonts w:hint="eastAsia" w:ascii="宋体" w:hAnsi="宋体"/>
          <w:color w:val="auto"/>
          <w:szCs w:val="21"/>
        </w:rPr>
      </w:pPr>
      <w:r>
        <w:rPr>
          <w:rFonts w:hint="eastAsia" w:ascii="宋体" w:hAnsi="宋体"/>
          <w:color w:val="auto"/>
          <w:szCs w:val="21"/>
        </w:rPr>
        <w:t>第八条  教学事故责任人的处理</w:t>
      </w:r>
    </w:p>
    <w:p>
      <w:pPr>
        <w:ind w:firstLine="420" w:firstLineChars="200"/>
        <w:rPr>
          <w:rFonts w:hint="eastAsia" w:ascii="宋体" w:hAnsi="宋体"/>
          <w:color w:val="auto"/>
          <w:szCs w:val="21"/>
        </w:rPr>
      </w:pPr>
      <w:r>
        <w:rPr>
          <w:rFonts w:hint="eastAsia" w:ascii="宋体" w:hAnsi="宋体"/>
          <w:color w:val="auto"/>
          <w:szCs w:val="21"/>
        </w:rPr>
        <w:t>1.凡被认定为教学事故的当事人，均给予全校通报批评，并取消年度评优资格。</w:t>
      </w:r>
    </w:p>
    <w:p>
      <w:pPr>
        <w:ind w:firstLine="420" w:firstLineChars="200"/>
        <w:rPr>
          <w:rFonts w:hint="eastAsia" w:ascii="宋体" w:hAnsi="宋体"/>
          <w:color w:val="auto"/>
          <w:szCs w:val="21"/>
        </w:rPr>
      </w:pPr>
      <w:r>
        <w:rPr>
          <w:rFonts w:hint="eastAsia" w:ascii="宋体" w:hAnsi="宋体"/>
          <w:color w:val="auto"/>
          <w:szCs w:val="21"/>
        </w:rPr>
        <w:t>2.一学年内发生一次一般教学事故者，该学年度考核不得评为优秀。一学年内发生两次以上（含两次）一般教学事故者，该学年度考核为不称职，取消参加当年各种与教学相关奖励的评审资格。</w:t>
      </w:r>
    </w:p>
    <w:p>
      <w:pPr>
        <w:ind w:firstLine="420" w:firstLineChars="200"/>
        <w:rPr>
          <w:rFonts w:hint="eastAsia" w:ascii="宋体" w:hAnsi="宋体"/>
          <w:color w:val="auto"/>
          <w:szCs w:val="21"/>
        </w:rPr>
      </w:pPr>
      <w:r>
        <w:rPr>
          <w:rFonts w:hint="eastAsia" w:ascii="宋体" w:hAnsi="宋体"/>
          <w:color w:val="auto"/>
          <w:szCs w:val="21"/>
        </w:rPr>
        <w:t>3.一学年内发生一次重大教学事故者，该学年度考核为不称职，取消参加当年各种与教学相关奖励的评审资格。一学年内发生两次以上（含两次）重大教学事故的教师，予以停课处理；后勤保障工作人员、教辅人员及管理人员调离原工作岗位。</w:t>
      </w:r>
    </w:p>
    <w:p>
      <w:pPr>
        <w:ind w:firstLine="420" w:firstLineChars="200"/>
        <w:rPr>
          <w:rFonts w:hint="eastAsia" w:ascii="宋体" w:hAnsi="宋体"/>
          <w:color w:val="auto"/>
          <w:szCs w:val="21"/>
        </w:rPr>
      </w:pPr>
      <w:r>
        <w:rPr>
          <w:rFonts w:hint="eastAsia" w:ascii="宋体" w:hAnsi="宋体"/>
          <w:color w:val="auto"/>
          <w:szCs w:val="21"/>
        </w:rPr>
        <w:t>4.相关单位对教学事故知情不报或由教务处、督导委员会成员在抽查或检查过程中发现的教学事故，除追究当事人责任外，还将根据学校年度考核的有关规定，扣除相关单位的考核分数，直至追究单位负责人的领导和经济责任。</w:t>
      </w:r>
    </w:p>
    <w:p>
      <w:pPr>
        <w:ind w:firstLine="420" w:firstLineChars="200"/>
        <w:rPr>
          <w:rFonts w:hint="eastAsia" w:ascii="宋体" w:hAnsi="宋体"/>
          <w:color w:val="auto"/>
          <w:szCs w:val="21"/>
        </w:rPr>
      </w:pPr>
      <w:r>
        <w:rPr>
          <w:rFonts w:hint="eastAsia" w:ascii="宋体" w:hAnsi="宋体"/>
          <w:color w:val="auto"/>
          <w:szCs w:val="21"/>
        </w:rPr>
        <w:t>5.一学年内发生一次及以上严重教学事故的系（院、部）及相关教学管理与保障部门，取消当年先进单位评选资格。</w:t>
      </w:r>
    </w:p>
    <w:p>
      <w:pPr>
        <w:rPr>
          <w:rFonts w:hint="eastAsia" w:ascii="宋体" w:hAnsi="宋体"/>
          <w:b/>
          <w:color w:val="auto"/>
          <w:szCs w:val="21"/>
        </w:rPr>
      </w:pPr>
      <w:bookmarkStart w:id="1" w:name="_GoBack"/>
      <w:bookmarkEnd w:id="1"/>
    </w:p>
    <w:p>
      <w:pPr>
        <w:ind w:firstLine="422" w:firstLineChars="200"/>
        <w:rPr>
          <w:rFonts w:hint="eastAsia" w:ascii="宋体" w:hAnsi="宋体"/>
          <w:b/>
          <w:color w:val="auto"/>
          <w:szCs w:val="21"/>
        </w:rPr>
      </w:pPr>
      <w:r>
        <w:rPr>
          <w:rFonts w:hint="eastAsia" w:ascii="宋体" w:hAnsi="宋体"/>
          <w:b/>
          <w:color w:val="auto"/>
          <w:szCs w:val="21"/>
        </w:rPr>
        <w:t>附件：</w:t>
      </w:r>
    </w:p>
    <w:p>
      <w:pPr>
        <w:ind w:firstLine="422" w:firstLineChars="200"/>
        <w:rPr>
          <w:rFonts w:hint="eastAsia" w:ascii="宋体" w:hAnsi="宋体"/>
          <w:b/>
          <w:color w:val="auto"/>
          <w:szCs w:val="21"/>
        </w:rPr>
      </w:pPr>
      <w:r>
        <w:rPr>
          <w:rFonts w:hint="eastAsia" w:ascii="宋体" w:hAnsi="宋体"/>
          <w:b/>
          <w:color w:val="auto"/>
          <w:szCs w:val="21"/>
        </w:rPr>
        <w:t xml:space="preserve">              长江艺术工程职业学院教学事故认定标准</w:t>
      </w:r>
    </w:p>
    <w:tbl>
      <w:tblPr>
        <w:tblStyle w:val="3"/>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60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198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b/>
                <w:color w:val="auto"/>
                <w:szCs w:val="21"/>
              </w:rPr>
            </w:pPr>
            <w:r>
              <w:rPr>
                <w:color w:val="auto"/>
              </w:rPr>
              <mc:AlternateContent>
                <mc:Choice Requires="wpg">
                  <w:drawing>
                    <wp:anchor distT="0" distB="0" distL="114300" distR="114300" simplePos="0" relativeHeight="251658240" behindDoc="0" locked="0" layoutInCell="1" allowOverlap="1">
                      <wp:simplePos x="0" y="0"/>
                      <wp:positionH relativeFrom="column">
                        <wp:posOffset>-68580</wp:posOffset>
                      </wp:positionH>
                      <wp:positionV relativeFrom="paragraph">
                        <wp:posOffset>-6350</wp:posOffset>
                      </wp:positionV>
                      <wp:extent cx="1257300" cy="693420"/>
                      <wp:effectExtent l="2540" t="4445" r="16510" b="6985"/>
                      <wp:wrapNone/>
                      <wp:docPr id="6" name="组合 6"/>
                      <wp:cNvGraphicFramePr/>
                      <a:graphic xmlns:a="http://schemas.openxmlformats.org/drawingml/2006/main">
                        <a:graphicData uri="http://schemas.microsoft.com/office/word/2010/wordprocessingGroup">
                          <wpg:wgp>
                            <wpg:cNvGrpSpPr/>
                            <wpg:grpSpPr>
                              <a:xfrm>
                                <a:off x="0" y="0"/>
                                <a:ext cx="1257300" cy="693420"/>
                                <a:chOff x="1694" y="11746"/>
                                <a:chExt cx="2830" cy="1070"/>
                              </a:xfrm>
                            </wpg:grpSpPr>
                            <wps:wsp>
                              <wps:cNvPr id="1" name="直接连接符 1"/>
                              <wps:cNvSpPr/>
                              <wps:spPr>
                                <a:xfrm>
                                  <a:off x="1694" y="11746"/>
                                  <a:ext cx="2830" cy="1070"/>
                                </a:xfrm>
                                <a:prstGeom prst="line">
                                  <a:avLst/>
                                </a:prstGeom>
                                <a:ln w="6350" cap="flat" cmpd="sng">
                                  <a:solidFill>
                                    <a:srgbClr val="000000"/>
                                  </a:solidFill>
                                  <a:prstDash val="solid"/>
                                  <a:headEnd type="none" w="med" len="med"/>
                                  <a:tailEnd type="none" w="med" len="med"/>
                                </a:ln>
                              </wps:spPr>
                              <wps:bodyPr upright="1"/>
                            </wps:wsp>
                            <wps:wsp>
                              <wps:cNvPr id="2" name="文本框 2"/>
                              <wps:cNvSpPr txBox="1"/>
                              <wps:spPr>
                                <a:xfrm>
                                  <a:off x="3077" y="11870"/>
                                  <a:ext cx="253" cy="263"/>
                                </a:xfrm>
                                <a:prstGeom prst="rect">
                                  <a:avLst/>
                                </a:prstGeom>
                                <a:noFill/>
                                <a:ln>
                                  <a:noFill/>
                                </a:ln>
                              </wps:spPr>
                              <wps:txbx>
                                <w:txbxContent>
                                  <w:p>
                                    <w:pPr>
                                      <w:snapToGrid w:val="0"/>
                                      <w:rPr>
                                        <w:b/>
                                      </w:rPr>
                                    </w:pPr>
                                    <w:r>
                                      <w:rPr>
                                        <w:rFonts w:hint="eastAsia"/>
                                        <w:b/>
                                      </w:rPr>
                                      <w:t>等</w:t>
                                    </w:r>
                                  </w:p>
                                </w:txbxContent>
                              </wps:txbx>
                              <wps:bodyPr lIns="0" tIns="0" rIns="0" bIns="0" upright="1"/>
                            </wps:wsp>
                            <wps:wsp>
                              <wps:cNvPr id="3" name="文本框 3"/>
                              <wps:cNvSpPr txBox="1"/>
                              <wps:spPr>
                                <a:xfrm>
                                  <a:off x="3873" y="12171"/>
                                  <a:ext cx="253" cy="263"/>
                                </a:xfrm>
                                <a:prstGeom prst="rect">
                                  <a:avLst/>
                                </a:prstGeom>
                                <a:noFill/>
                                <a:ln>
                                  <a:noFill/>
                                </a:ln>
                              </wps:spPr>
                              <wps:txbx>
                                <w:txbxContent>
                                  <w:p>
                                    <w:pPr>
                                      <w:snapToGrid w:val="0"/>
                                      <w:rPr>
                                        <w:b/>
                                      </w:rPr>
                                    </w:pPr>
                                    <w:r>
                                      <w:rPr>
                                        <w:rFonts w:hint="eastAsia"/>
                                        <w:b/>
                                      </w:rPr>
                                      <w:t>级</w:t>
                                    </w:r>
                                  </w:p>
                                </w:txbxContent>
                              </wps:txbx>
                              <wps:bodyPr lIns="0" tIns="0" rIns="0" bIns="0" upright="1"/>
                            </wps:wsp>
                            <wps:wsp>
                              <wps:cNvPr id="4" name="文本框 4"/>
                              <wps:cNvSpPr txBox="1"/>
                              <wps:spPr>
                                <a:xfrm>
                                  <a:off x="2065" y="12165"/>
                                  <a:ext cx="252" cy="263"/>
                                </a:xfrm>
                                <a:prstGeom prst="rect">
                                  <a:avLst/>
                                </a:prstGeom>
                                <a:noFill/>
                                <a:ln>
                                  <a:noFill/>
                                </a:ln>
                              </wps:spPr>
                              <wps:txbx>
                                <w:txbxContent>
                                  <w:p>
                                    <w:pPr>
                                      <w:snapToGrid w:val="0"/>
                                      <w:rPr>
                                        <w:b/>
                                      </w:rPr>
                                    </w:pPr>
                                    <w:r>
                                      <w:rPr>
                                        <w:rFonts w:hint="eastAsia"/>
                                        <w:b/>
                                      </w:rPr>
                                      <w:t>类</w:t>
                                    </w:r>
                                  </w:p>
                                </w:txbxContent>
                              </wps:txbx>
                              <wps:bodyPr lIns="0" tIns="0" rIns="0" bIns="0" upright="1"/>
                            </wps:wsp>
                            <wps:wsp>
                              <wps:cNvPr id="5" name="文本框 5"/>
                              <wps:cNvSpPr txBox="1"/>
                              <wps:spPr>
                                <a:xfrm>
                                  <a:off x="2796" y="12442"/>
                                  <a:ext cx="252" cy="262"/>
                                </a:xfrm>
                                <a:prstGeom prst="rect">
                                  <a:avLst/>
                                </a:prstGeom>
                                <a:noFill/>
                                <a:ln>
                                  <a:noFill/>
                                </a:ln>
                              </wps:spPr>
                              <wps:txbx>
                                <w:txbxContent>
                                  <w:p>
                                    <w:pPr>
                                      <w:snapToGrid w:val="0"/>
                                      <w:rPr>
                                        <w:b/>
                                      </w:rPr>
                                    </w:pPr>
                                    <w:r>
                                      <w:rPr>
                                        <w:rFonts w:hint="eastAsia"/>
                                        <w:b/>
                                      </w:rPr>
                                      <w:t>别</w:t>
                                    </w:r>
                                  </w:p>
                                </w:txbxContent>
                              </wps:txbx>
                              <wps:bodyPr lIns="0" tIns="0" rIns="0" bIns="0" upright="1"/>
                            </wps:wsp>
                          </wpg:wgp>
                        </a:graphicData>
                      </a:graphic>
                    </wp:anchor>
                  </w:drawing>
                </mc:Choice>
                <mc:Fallback>
                  <w:pict>
                    <v:group id="_x0000_s1026" o:spid="_x0000_s1026" o:spt="203" style="position:absolute;left:0pt;margin-left:-5.4pt;margin-top:-0.5pt;height:54.6pt;width:99pt;z-index:251658240;mso-width-relative:page;mso-height-relative:page;" coordorigin="1694,11746" coordsize="2830,1070" o:gfxdata="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LS56+tgAAAAKAQAADwAAAAAAAAABACAAAAAiAAAAZHJzL2Rv&#10;d25yZXYueG1sUEsBAhQAFAAAAAgAh07iQJ67PW8eAwAAHgsAAA4AAAAAAAAAAQAgAAAAJwEAAGRy&#10;cy9lMm9Eb2MueG1sUEsFBgAAAAAGAAYAWQEAALcGAAAAAA==&#10;">
                      <o:lock v:ext="edit" aspectratio="f"/>
                      <v:line id="_x0000_s1026" o:spid="_x0000_s1026" o:spt="20" style="position:absolute;left:1694;top:11746;height:1070;width:2830;"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3077;top:11870;height:263;width:25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b/>
                                </w:rPr>
                              </w:pPr>
                              <w:r>
                                <w:rPr>
                                  <w:rFonts w:hint="eastAsia"/>
                                  <w:b/>
                                </w:rPr>
                                <w:t>等</w:t>
                              </w:r>
                            </w:p>
                          </w:txbxContent>
                        </v:textbox>
                      </v:shape>
                      <v:shape id="_x0000_s1026" o:spid="_x0000_s1026" o:spt="202" type="#_x0000_t202" style="position:absolute;left:3873;top:12171;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b/>
                                </w:rPr>
                              </w:pPr>
                              <w:r>
                                <w:rPr>
                                  <w:rFonts w:hint="eastAsia"/>
                                  <w:b/>
                                </w:rPr>
                                <w:t>级</w:t>
                              </w:r>
                            </w:p>
                          </w:txbxContent>
                        </v:textbox>
                      </v:shape>
                      <v:shape id="_x0000_s1026" o:spid="_x0000_s1026" o:spt="202" type="#_x0000_t202" style="position:absolute;left:2065;top:12165;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b/>
                                </w:rPr>
                              </w:pPr>
                              <w:r>
                                <w:rPr>
                                  <w:rFonts w:hint="eastAsia"/>
                                  <w:b/>
                                </w:rPr>
                                <w:t>类</w:t>
                              </w:r>
                            </w:p>
                          </w:txbxContent>
                        </v:textbox>
                      </v:shape>
                      <v:shape id="_x0000_s1026" o:spid="_x0000_s1026" o:spt="202" type="#_x0000_t202" style="position:absolute;left:2796;top:12442;height:262;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b/>
                                </w:rPr>
                              </w:pPr>
                              <w:r>
                                <w:rPr>
                                  <w:rFonts w:hint="eastAsia"/>
                                  <w:b/>
                                </w:rPr>
                                <w:t>别</w:t>
                              </w:r>
                            </w:p>
                          </w:txbxContent>
                        </v:textbox>
                      </v:shape>
                    </v:group>
                  </w:pict>
                </mc:Fallback>
              </mc:AlternateConten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一般教学事故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重大教学事故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课堂教学</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1.未经系（院、部）和教学主管部门同意，未办理有关手续，教师擅自变动上课时间与地点。</w:t>
            </w:r>
          </w:p>
          <w:p>
            <w:pPr>
              <w:rPr>
                <w:rFonts w:hint="eastAsia" w:ascii="宋体" w:hAnsi="宋体"/>
                <w:color w:val="auto"/>
                <w:szCs w:val="21"/>
              </w:rPr>
            </w:pPr>
            <w:r>
              <w:rPr>
                <w:rFonts w:hint="eastAsia" w:ascii="宋体" w:hAnsi="宋体"/>
                <w:color w:val="auto"/>
                <w:szCs w:val="21"/>
              </w:rPr>
              <w:t>2. 无特殊原因，教师上课迟到或提前下课超过10分钟。或中途擅离工作岗位1学时内。</w:t>
            </w:r>
          </w:p>
          <w:p>
            <w:pPr>
              <w:rPr>
                <w:rFonts w:hint="eastAsia" w:ascii="宋体" w:hAnsi="宋体"/>
                <w:color w:val="auto"/>
                <w:szCs w:val="21"/>
              </w:rPr>
            </w:pPr>
            <w:r>
              <w:rPr>
                <w:rFonts w:hint="eastAsia" w:ascii="宋体" w:hAnsi="宋体"/>
                <w:color w:val="auto"/>
                <w:szCs w:val="21"/>
              </w:rPr>
              <w:t>3.教师在课堂上用语言或行为贬损、侮辱学生。</w:t>
            </w:r>
          </w:p>
          <w:p>
            <w:pPr>
              <w:rPr>
                <w:rFonts w:ascii="宋体" w:hAnsi="宋体"/>
                <w:b/>
                <w:color w:val="auto"/>
                <w:szCs w:val="21"/>
              </w:rPr>
            </w:pPr>
            <w:r>
              <w:rPr>
                <w:rFonts w:hint="eastAsia" w:ascii="宋体" w:hAnsi="宋体"/>
                <w:color w:val="auto"/>
                <w:szCs w:val="21"/>
              </w:rPr>
              <w:t>4.教师在上课时接打电话。</w:t>
            </w:r>
          </w:p>
        </w:tc>
        <w:tc>
          <w:tcPr>
            <w:tcW w:w="34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1. 无正当理由，拒不执行教学安排，造成学生无人上课或教师旷课2学时及以上。</w:t>
            </w:r>
          </w:p>
          <w:p>
            <w:pPr>
              <w:rPr>
                <w:rFonts w:hint="eastAsia" w:ascii="宋体" w:hAnsi="宋体"/>
                <w:color w:val="auto"/>
                <w:szCs w:val="21"/>
              </w:rPr>
            </w:pPr>
            <w:r>
              <w:rPr>
                <w:rFonts w:hint="eastAsia" w:ascii="宋体" w:hAnsi="宋体"/>
                <w:color w:val="auto"/>
                <w:szCs w:val="21"/>
              </w:rPr>
              <w:t>2．未经系（院、部）或教务处批准，未办理相关手续，随意停课或请人代课。</w:t>
            </w:r>
          </w:p>
          <w:p>
            <w:pPr>
              <w:rPr>
                <w:rFonts w:hint="eastAsia" w:ascii="宋体" w:hAnsi="宋体"/>
                <w:color w:val="auto"/>
                <w:szCs w:val="21"/>
              </w:rPr>
            </w:pPr>
            <w:r>
              <w:rPr>
                <w:rFonts w:hint="eastAsia" w:ascii="宋体" w:hAnsi="宋体"/>
                <w:color w:val="auto"/>
                <w:szCs w:val="21"/>
              </w:rPr>
              <w:t>3．教师随意删减课程教学内容1/3以上。</w:t>
            </w:r>
          </w:p>
          <w:p>
            <w:pPr>
              <w:rPr>
                <w:rFonts w:hint="eastAsia" w:ascii="宋体" w:hAnsi="宋体"/>
                <w:color w:val="auto"/>
                <w:szCs w:val="21"/>
              </w:rPr>
            </w:pPr>
            <w:r>
              <w:rPr>
                <w:rFonts w:hint="eastAsia" w:ascii="宋体" w:hAnsi="宋体"/>
                <w:color w:val="auto"/>
                <w:szCs w:val="21"/>
              </w:rPr>
              <w:t>4.辱骂或对学生实施体罚，造成严重后果。</w:t>
            </w:r>
          </w:p>
          <w:p>
            <w:pPr>
              <w:rPr>
                <w:rFonts w:ascii="宋体" w:hAnsi="宋体"/>
                <w:b/>
                <w:color w:val="auto"/>
                <w:szCs w:val="21"/>
              </w:rPr>
            </w:pPr>
            <w:r>
              <w:rPr>
                <w:rFonts w:hint="eastAsia" w:ascii="宋体" w:hAnsi="宋体"/>
                <w:color w:val="auto"/>
                <w:szCs w:val="21"/>
              </w:rPr>
              <w:t>5.非客观原因造成较大范围教学秩序混乱。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实践教学</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1.指导教师、带队教师擅自改变实践教学计划安排。</w:t>
            </w:r>
          </w:p>
          <w:p>
            <w:pPr>
              <w:rPr>
                <w:rFonts w:hint="eastAsia" w:ascii="宋体" w:hAnsi="宋体"/>
                <w:color w:val="auto"/>
                <w:szCs w:val="21"/>
              </w:rPr>
            </w:pPr>
            <w:r>
              <w:rPr>
                <w:rFonts w:hint="eastAsia" w:ascii="宋体" w:hAnsi="宋体"/>
                <w:color w:val="auto"/>
                <w:szCs w:val="21"/>
              </w:rPr>
              <w:t>2．实习期间，带队教师擅离岗位2天以内。</w:t>
            </w:r>
          </w:p>
          <w:p>
            <w:pPr>
              <w:rPr>
                <w:rFonts w:hint="eastAsia" w:ascii="宋体" w:hAnsi="宋体"/>
                <w:color w:val="auto"/>
                <w:szCs w:val="21"/>
              </w:rPr>
            </w:pPr>
            <w:r>
              <w:rPr>
                <w:rFonts w:hint="eastAsia" w:ascii="宋体" w:hAnsi="宋体"/>
                <w:color w:val="auto"/>
                <w:szCs w:val="21"/>
              </w:rPr>
              <w:t>3．指导教师、带队教师违反实践单位保密规定。</w:t>
            </w:r>
          </w:p>
          <w:p>
            <w:pPr>
              <w:rPr>
                <w:rFonts w:hint="eastAsia" w:ascii="宋体" w:hAnsi="宋体"/>
                <w:color w:val="auto"/>
                <w:szCs w:val="21"/>
              </w:rPr>
            </w:pPr>
            <w:r>
              <w:rPr>
                <w:rFonts w:hint="eastAsia" w:ascii="宋体" w:hAnsi="宋体"/>
                <w:color w:val="auto"/>
                <w:szCs w:val="21"/>
              </w:rPr>
              <w:t>4．教师对学生实习、实验过程不认真考核，不批阅学生实习、实验报告，随意给定实习、实验成绩。</w:t>
            </w:r>
          </w:p>
          <w:p>
            <w:pPr>
              <w:rPr>
                <w:rFonts w:hint="eastAsia" w:ascii="宋体" w:hAnsi="宋体"/>
                <w:color w:val="auto"/>
                <w:szCs w:val="21"/>
              </w:rPr>
            </w:pPr>
            <w:r>
              <w:rPr>
                <w:rFonts w:hint="eastAsia" w:ascii="宋体" w:hAnsi="宋体"/>
                <w:color w:val="auto"/>
                <w:szCs w:val="21"/>
              </w:rPr>
              <w:t>5.指导教师对学生实习报告、课程设计、毕业设计（论文）抄袭现象不予制止。</w:t>
            </w:r>
          </w:p>
          <w:p>
            <w:pPr>
              <w:rPr>
                <w:rFonts w:hint="eastAsia" w:ascii="宋体" w:hAnsi="宋体"/>
                <w:color w:val="auto"/>
                <w:szCs w:val="21"/>
              </w:rPr>
            </w:pPr>
            <w:r>
              <w:rPr>
                <w:rFonts w:hint="eastAsia" w:ascii="宋体" w:hAnsi="宋体"/>
                <w:color w:val="auto"/>
                <w:szCs w:val="21"/>
              </w:rPr>
              <w:t>6.实验室管理人员未按计划将实验仪器设备准备好，影响实验课的正常进行。</w:t>
            </w:r>
          </w:p>
          <w:p>
            <w:pPr>
              <w:rPr>
                <w:rFonts w:hint="eastAsia" w:ascii="宋体" w:hAnsi="宋体"/>
                <w:color w:val="auto"/>
                <w:szCs w:val="21"/>
              </w:rPr>
            </w:pPr>
            <w:r>
              <w:rPr>
                <w:rFonts w:hint="eastAsia" w:ascii="宋体" w:hAnsi="宋体"/>
                <w:color w:val="auto"/>
                <w:szCs w:val="21"/>
              </w:rPr>
              <w:t>7.实验室仪器设备出现故障，管理人员不及时报修，或维修人员不及时修理，影响教学正常进行。</w:t>
            </w:r>
          </w:p>
          <w:p>
            <w:pPr>
              <w:rPr>
                <w:rFonts w:ascii="宋体" w:hAnsi="宋体"/>
                <w:b/>
                <w:color w:val="auto"/>
                <w:szCs w:val="21"/>
              </w:rPr>
            </w:pPr>
            <w:r>
              <w:rPr>
                <w:rFonts w:hint="eastAsia" w:ascii="宋体" w:hAnsi="宋体"/>
                <w:color w:val="auto"/>
                <w:szCs w:val="21"/>
              </w:rPr>
              <w:t>8.实验指导教师不按教学任务安排组织教学，随意调课，请人代课或将应由几名教师承担的指导任务交由1人承担。</w:t>
            </w:r>
          </w:p>
        </w:tc>
        <w:tc>
          <w:tcPr>
            <w:tcW w:w="34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1.指导教师、带队教师擅自改变实践教学计划安排达1周以上。</w:t>
            </w:r>
          </w:p>
          <w:p>
            <w:pPr>
              <w:rPr>
                <w:rFonts w:hint="eastAsia" w:ascii="宋体" w:hAnsi="宋体"/>
                <w:color w:val="auto"/>
                <w:szCs w:val="21"/>
              </w:rPr>
            </w:pPr>
            <w:r>
              <w:rPr>
                <w:rFonts w:hint="eastAsia" w:ascii="宋体" w:hAnsi="宋体"/>
                <w:color w:val="auto"/>
                <w:szCs w:val="21"/>
              </w:rPr>
              <w:t>2．实习期间，带队教师擅离岗位2天以上（含2天）。</w:t>
            </w:r>
          </w:p>
          <w:p>
            <w:pPr>
              <w:rPr>
                <w:rFonts w:hint="eastAsia" w:ascii="宋体" w:hAnsi="宋体"/>
                <w:color w:val="auto"/>
                <w:szCs w:val="21"/>
              </w:rPr>
            </w:pPr>
            <w:r>
              <w:rPr>
                <w:rFonts w:hint="eastAsia" w:ascii="宋体" w:hAnsi="宋体"/>
                <w:color w:val="auto"/>
                <w:szCs w:val="21"/>
              </w:rPr>
              <w:t>3．指导教师、带队教师严重违反实践单位保密规定，给双方合作带来不利后果。</w:t>
            </w:r>
          </w:p>
          <w:p>
            <w:pPr>
              <w:rPr>
                <w:rFonts w:hint="eastAsia" w:ascii="宋体" w:hAnsi="宋体"/>
                <w:color w:val="auto"/>
                <w:szCs w:val="21"/>
              </w:rPr>
            </w:pPr>
            <w:r>
              <w:rPr>
                <w:rFonts w:hint="eastAsia" w:ascii="宋体" w:hAnsi="宋体"/>
                <w:color w:val="auto"/>
                <w:szCs w:val="21"/>
              </w:rPr>
              <w:t>4. 因教师责任心不强，致使学生在实习、实验过程中造成财产损失或学生伤亡事故。</w:t>
            </w:r>
          </w:p>
          <w:p>
            <w:pPr>
              <w:rPr>
                <w:rFonts w:hint="eastAsia" w:ascii="宋体" w:hAnsi="宋体"/>
                <w:color w:val="auto"/>
                <w:szCs w:val="21"/>
              </w:rPr>
            </w:pPr>
            <w:r>
              <w:rPr>
                <w:rFonts w:hint="eastAsia" w:ascii="宋体" w:hAnsi="宋体"/>
                <w:color w:val="auto"/>
                <w:szCs w:val="21"/>
              </w:rPr>
              <w:t>5.指导教师对学生实习报告、课程设计、毕业设计（论文）出现大面积抄袭现象未发现或发现后不予制止。</w:t>
            </w:r>
          </w:p>
          <w:p>
            <w:pPr>
              <w:rPr>
                <w:rFonts w:hint="eastAsia" w:ascii="宋体" w:hAnsi="宋体"/>
                <w:color w:val="auto"/>
                <w:szCs w:val="21"/>
              </w:rPr>
            </w:pPr>
            <w:r>
              <w:rPr>
                <w:rFonts w:hint="eastAsia" w:ascii="宋体" w:hAnsi="宋体"/>
                <w:color w:val="auto"/>
                <w:szCs w:val="21"/>
              </w:rPr>
              <w:t>6.课程设计、毕业设计（论文）等环节的指导时间未达到规定要求的1/2，或有1/2学生的设计（论文）质量未达到设计（论文）的基本要求，或不合实际评定成绩达到所指导学生人数的1/2。</w:t>
            </w:r>
          </w:p>
          <w:p>
            <w:pPr>
              <w:rPr>
                <w:rFonts w:hint="eastAsia" w:ascii="宋体" w:hAnsi="宋体"/>
                <w:color w:val="auto"/>
                <w:szCs w:val="21"/>
              </w:rPr>
            </w:pPr>
            <w:r>
              <w:rPr>
                <w:rFonts w:hint="eastAsia" w:ascii="宋体" w:hAnsi="宋体"/>
                <w:color w:val="auto"/>
                <w:szCs w:val="21"/>
              </w:rPr>
              <w:t>7．由于实验室管理人员不负责任或管理不善，造成实验仪器设备严重损失，影响正常教学。</w:t>
            </w:r>
          </w:p>
          <w:p>
            <w:pPr>
              <w:rPr>
                <w:rFonts w:hint="eastAsia" w:ascii="宋体" w:hAnsi="宋体"/>
                <w:color w:val="auto"/>
                <w:szCs w:val="21"/>
              </w:rPr>
            </w:pPr>
            <w:r>
              <w:rPr>
                <w:rFonts w:hint="eastAsia" w:ascii="宋体" w:hAnsi="宋体"/>
                <w:color w:val="auto"/>
                <w:szCs w:val="21"/>
              </w:rPr>
              <w:t>8.造成重大经济损失及影响正常教学。</w:t>
            </w:r>
          </w:p>
          <w:p>
            <w:pPr>
              <w:rPr>
                <w:rFonts w:ascii="宋体" w:hAnsi="宋体"/>
                <w:b/>
                <w:color w:val="auto"/>
                <w:szCs w:val="21"/>
              </w:rPr>
            </w:pPr>
            <w:r>
              <w:rPr>
                <w:rFonts w:hint="eastAsia" w:ascii="宋体" w:hAnsi="宋体"/>
                <w:color w:val="auto"/>
                <w:szCs w:val="21"/>
              </w:rPr>
              <w:t>9.因实验材料供应失误，造成财产重大损失和人身伤害。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考试工作</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1.考查课、任选课、技能测试课等不按要求到学生所在系（院、部）教学管理部门登记备案，或拒不接受教学管理部门有关考试安排。</w:t>
            </w:r>
          </w:p>
          <w:p>
            <w:pPr>
              <w:rPr>
                <w:rFonts w:hint="eastAsia" w:ascii="宋体" w:hAnsi="宋体"/>
                <w:color w:val="auto"/>
                <w:szCs w:val="21"/>
              </w:rPr>
            </w:pPr>
            <w:r>
              <w:rPr>
                <w:rFonts w:hint="eastAsia" w:ascii="宋体" w:hAnsi="宋体"/>
                <w:color w:val="auto"/>
                <w:szCs w:val="21"/>
              </w:rPr>
              <w:t>2.教师命题或印卷过程中出现差错而未能在考试前改正,影响学生正常考试。</w:t>
            </w:r>
          </w:p>
          <w:p>
            <w:pPr>
              <w:rPr>
                <w:rFonts w:hint="eastAsia" w:ascii="宋体" w:hAnsi="宋体"/>
                <w:color w:val="auto"/>
                <w:szCs w:val="21"/>
              </w:rPr>
            </w:pPr>
            <w:r>
              <w:rPr>
                <w:rFonts w:hint="eastAsia" w:ascii="宋体" w:hAnsi="宋体"/>
                <w:color w:val="auto"/>
                <w:szCs w:val="21"/>
              </w:rPr>
              <w:t>3．无正当理由，拒不接受监考任务安排。</w:t>
            </w:r>
          </w:p>
          <w:p>
            <w:pPr>
              <w:rPr>
                <w:rFonts w:hint="eastAsia" w:ascii="宋体" w:hAnsi="宋体"/>
                <w:color w:val="auto"/>
                <w:szCs w:val="21"/>
              </w:rPr>
            </w:pPr>
            <w:r>
              <w:rPr>
                <w:rFonts w:hint="eastAsia" w:ascii="宋体" w:hAnsi="宋体"/>
                <w:color w:val="auto"/>
                <w:szCs w:val="21"/>
              </w:rPr>
              <w:t>4.主考、监考教师迟到或监考时擅离岗位。</w:t>
            </w:r>
          </w:p>
          <w:p>
            <w:pPr>
              <w:rPr>
                <w:rFonts w:hint="eastAsia" w:ascii="宋体" w:hAnsi="宋体"/>
                <w:color w:val="auto"/>
                <w:szCs w:val="21"/>
              </w:rPr>
            </w:pPr>
            <w:r>
              <w:rPr>
                <w:rFonts w:hint="eastAsia" w:ascii="宋体" w:hAnsi="宋体"/>
                <w:color w:val="auto"/>
                <w:szCs w:val="21"/>
              </w:rPr>
              <w:t>5.主考、监考教师监考不力，对学生的舞弊行为不予制止；或考试结束后，漏收或丢失学生试卷与答题卡的。</w:t>
            </w:r>
          </w:p>
          <w:p>
            <w:pPr>
              <w:rPr>
                <w:rFonts w:hint="eastAsia" w:ascii="宋体" w:hAnsi="宋体"/>
                <w:color w:val="auto"/>
                <w:szCs w:val="21"/>
              </w:rPr>
            </w:pPr>
            <w:r>
              <w:rPr>
                <w:rFonts w:hint="eastAsia" w:ascii="宋体" w:hAnsi="宋体"/>
                <w:color w:val="auto"/>
                <w:szCs w:val="21"/>
              </w:rPr>
              <w:t>6.未按评分标准评定成绩，或成绩提交后又随意更改成绩。</w:t>
            </w:r>
          </w:p>
          <w:p>
            <w:pPr>
              <w:rPr>
                <w:rFonts w:ascii="宋体" w:hAnsi="宋体"/>
                <w:b/>
                <w:color w:val="auto"/>
                <w:szCs w:val="21"/>
              </w:rPr>
            </w:pPr>
            <w:r>
              <w:rPr>
                <w:rFonts w:hint="eastAsia" w:ascii="宋体" w:hAnsi="宋体"/>
                <w:color w:val="auto"/>
                <w:szCs w:val="21"/>
              </w:rPr>
              <w:t>7.任课教师漏登、错登或丢失学生成绩。</w:t>
            </w:r>
          </w:p>
        </w:tc>
        <w:tc>
          <w:tcPr>
            <w:tcW w:w="34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1.试卷在命题、印刷、传送、保管过程中泄密。</w:t>
            </w:r>
          </w:p>
          <w:p>
            <w:pPr>
              <w:rPr>
                <w:rFonts w:hint="eastAsia" w:ascii="宋体" w:hAnsi="宋体"/>
                <w:color w:val="auto"/>
                <w:szCs w:val="21"/>
              </w:rPr>
            </w:pPr>
            <w:r>
              <w:rPr>
                <w:rFonts w:hint="eastAsia" w:ascii="宋体" w:hAnsi="宋体"/>
                <w:color w:val="auto"/>
                <w:szCs w:val="21"/>
              </w:rPr>
              <w:t>2.现场发现未准备好足够数量的试卷或试卷严重出错致使现场混乱或考试无法进行。</w:t>
            </w:r>
          </w:p>
          <w:p>
            <w:pPr>
              <w:rPr>
                <w:rFonts w:hint="eastAsia" w:ascii="宋体" w:hAnsi="宋体"/>
                <w:color w:val="auto"/>
                <w:szCs w:val="21"/>
              </w:rPr>
            </w:pPr>
            <w:r>
              <w:rPr>
                <w:rFonts w:hint="eastAsia" w:ascii="宋体" w:hAnsi="宋体"/>
                <w:color w:val="auto"/>
                <w:szCs w:val="21"/>
              </w:rPr>
              <w:t>3.主、监考人员未到考场。</w:t>
            </w:r>
          </w:p>
          <w:p>
            <w:pPr>
              <w:rPr>
                <w:rFonts w:hint="eastAsia" w:ascii="宋体" w:hAnsi="宋体"/>
                <w:color w:val="auto"/>
                <w:szCs w:val="21"/>
              </w:rPr>
            </w:pPr>
            <w:r>
              <w:rPr>
                <w:rFonts w:hint="eastAsia" w:ascii="宋体" w:hAnsi="宋体"/>
                <w:color w:val="auto"/>
                <w:szCs w:val="21"/>
              </w:rPr>
              <w:t>4.监考人员协同学生作弊或考生出现大面积舞弊（1/2以上）而不及时制止或处理不力。</w:t>
            </w:r>
          </w:p>
          <w:p>
            <w:pPr>
              <w:rPr>
                <w:rFonts w:hint="eastAsia" w:ascii="宋体" w:hAnsi="宋体"/>
                <w:color w:val="auto"/>
                <w:szCs w:val="21"/>
              </w:rPr>
            </w:pPr>
            <w:r>
              <w:rPr>
                <w:rFonts w:hint="eastAsia" w:ascii="宋体" w:hAnsi="宋体"/>
                <w:color w:val="auto"/>
                <w:szCs w:val="21"/>
              </w:rPr>
              <w:t>5.教师故意提高或压低学生考试成绩。</w:t>
            </w:r>
          </w:p>
          <w:p>
            <w:pPr>
              <w:rPr>
                <w:rFonts w:hint="eastAsia" w:ascii="宋体" w:hAnsi="宋体"/>
                <w:color w:val="auto"/>
                <w:szCs w:val="21"/>
              </w:rPr>
            </w:pPr>
            <w:r>
              <w:rPr>
                <w:rFonts w:hint="eastAsia" w:ascii="宋体" w:hAnsi="宋体"/>
                <w:color w:val="auto"/>
                <w:szCs w:val="21"/>
              </w:rPr>
              <w:t>6．伪造或涂改学生学习成绩。</w:t>
            </w:r>
          </w:p>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教学管理</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1.因排课、排考不当造成教室使用冲突，或造成无教师到岗上课现象，且未能在接报15分钟内及时处理。</w:t>
            </w:r>
          </w:p>
          <w:p>
            <w:pPr>
              <w:rPr>
                <w:rFonts w:hint="eastAsia" w:ascii="宋体" w:hAnsi="宋体"/>
                <w:color w:val="auto"/>
                <w:szCs w:val="21"/>
              </w:rPr>
            </w:pPr>
            <w:r>
              <w:rPr>
                <w:rFonts w:hint="eastAsia" w:ascii="宋体" w:hAnsi="宋体"/>
                <w:color w:val="auto"/>
                <w:szCs w:val="21"/>
              </w:rPr>
              <w:t>2.教师已事先请假，而受理者未及时通知学生，致使空堂达15分钟以上。</w:t>
            </w:r>
          </w:p>
          <w:p>
            <w:pPr>
              <w:rPr>
                <w:rFonts w:hint="eastAsia" w:ascii="宋体" w:hAnsi="宋体"/>
                <w:color w:val="auto"/>
                <w:szCs w:val="21"/>
              </w:rPr>
            </w:pPr>
            <w:r>
              <w:rPr>
                <w:rFonts w:hint="eastAsia" w:ascii="宋体" w:hAnsi="宋体"/>
                <w:color w:val="auto"/>
                <w:szCs w:val="21"/>
              </w:rPr>
              <w:t>3.管理人员责任心不强，不按学籍管理办法要求及时进行学籍异动处理，造成严重后果。</w:t>
            </w:r>
          </w:p>
          <w:p>
            <w:pPr>
              <w:rPr>
                <w:rFonts w:hint="eastAsia" w:ascii="宋体" w:hAnsi="宋体"/>
                <w:color w:val="auto"/>
                <w:szCs w:val="21"/>
              </w:rPr>
            </w:pPr>
            <w:r>
              <w:rPr>
                <w:rFonts w:hint="eastAsia" w:ascii="宋体" w:hAnsi="宋体"/>
                <w:color w:val="auto"/>
                <w:szCs w:val="21"/>
              </w:rPr>
              <w:t>4.管理人员错登或漏登学生成绩，造成学生未能按时重修或补考。</w:t>
            </w:r>
          </w:p>
          <w:p>
            <w:pPr>
              <w:rPr>
                <w:rFonts w:ascii="宋体" w:hAnsi="宋体"/>
                <w:b/>
                <w:color w:val="auto"/>
                <w:szCs w:val="21"/>
              </w:rPr>
            </w:pPr>
            <w:r>
              <w:rPr>
                <w:rFonts w:hint="eastAsia" w:ascii="宋体" w:hAnsi="宋体"/>
                <w:color w:val="auto"/>
                <w:szCs w:val="21"/>
              </w:rPr>
              <w:t>5.接受他人说情，不坚持原则泄漏考试内容或伪造成绩。</w:t>
            </w:r>
          </w:p>
        </w:tc>
        <w:tc>
          <w:tcPr>
            <w:tcW w:w="34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1.管理人员丢失在校生成绩而无法弥补。</w:t>
            </w:r>
          </w:p>
          <w:p>
            <w:pPr>
              <w:rPr>
                <w:rFonts w:hint="eastAsia" w:ascii="宋体" w:hAnsi="宋体"/>
                <w:color w:val="auto"/>
                <w:szCs w:val="21"/>
              </w:rPr>
            </w:pPr>
            <w:r>
              <w:rPr>
                <w:rFonts w:hint="eastAsia" w:ascii="宋体" w:hAnsi="宋体"/>
                <w:color w:val="auto"/>
                <w:szCs w:val="21"/>
              </w:rPr>
              <w:t>2．管理人员或教师涂改学生成绩或出具与事实严重不符的成绩、学籍、学历证明。</w:t>
            </w:r>
          </w:p>
          <w:p>
            <w:pPr>
              <w:rPr>
                <w:rFonts w:hint="eastAsia" w:ascii="宋体" w:hAnsi="宋体"/>
                <w:color w:val="auto"/>
                <w:szCs w:val="21"/>
              </w:rPr>
            </w:pPr>
            <w:r>
              <w:rPr>
                <w:rFonts w:hint="eastAsia" w:ascii="宋体" w:hAnsi="宋体"/>
                <w:color w:val="auto"/>
                <w:szCs w:val="21"/>
              </w:rPr>
              <w:t>3.由于工作不落实等原因，造成开课后无教材或所用教材严重不符合教学大纲要求且又无补救措施。</w:t>
            </w:r>
          </w:p>
          <w:p>
            <w:pPr>
              <w:ind w:firstLine="422" w:firstLineChars="200"/>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后勤保障</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1.由于管理不善，造成停电、停水，使上课或实习、实验中断且未能提前通知。</w:t>
            </w:r>
          </w:p>
          <w:p>
            <w:pPr>
              <w:rPr>
                <w:rFonts w:ascii="宋体" w:hAnsi="宋体"/>
                <w:b/>
                <w:color w:val="auto"/>
                <w:szCs w:val="21"/>
              </w:rPr>
            </w:pPr>
            <w:r>
              <w:rPr>
                <w:rFonts w:hint="eastAsia" w:ascii="宋体" w:hAnsi="宋体"/>
                <w:color w:val="auto"/>
                <w:szCs w:val="21"/>
              </w:rPr>
              <w:t>2.教室黑板及其它教学设施损坏，管理人员不及时报修，或维修人员未及时修理，直接影响教学和教学效果。</w:t>
            </w:r>
          </w:p>
        </w:tc>
        <w:tc>
          <w:tcPr>
            <w:tcW w:w="34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由于水、电、教室设施准备工作未完成，造成不能正常上课。</w:t>
            </w:r>
          </w:p>
          <w:p>
            <w:pPr>
              <w:rPr>
                <w:rFonts w:hint="eastAsia" w:ascii="宋体" w:hAnsi="宋体"/>
                <w:color w:val="auto"/>
                <w:szCs w:val="21"/>
              </w:rPr>
            </w:pPr>
          </w:p>
          <w:p>
            <w:pPr>
              <w:rPr>
                <w:rFonts w:ascii="宋体" w:hAnsi="宋体"/>
                <w:b/>
                <w:color w:val="auto"/>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3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仿宋_GB2312" w:hAnsi="宋体" w:eastAsia="仿宋_GB2312"/>
      <w:b/>
      <w:sz w:val="24"/>
      <w:szCs w:val="20"/>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2019-09-02T10:45:29Z</dcterms:created>
  <dc:creator>Administrator</dc:creator>
  <cp:lastModifiedBy>偏执的傲</cp:lastModifiedBy>
  <dcterms:modified xsi:type="dcterms:W3CDTF">2019-09-02T10:45:36Z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